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8AD3" w14:textId="77777777" w:rsidR="00CC0F27" w:rsidRDefault="00CC0F27">
      <w:pPr>
        <w:rPr>
          <w:sz w:val="22"/>
          <w:szCs w:val="22"/>
        </w:rPr>
      </w:pPr>
    </w:p>
    <w:tbl>
      <w:tblPr>
        <w:tblW w:w="0" w:type="auto"/>
        <w:tblLayout w:type="fixed"/>
        <w:tblLook w:val="04A0" w:firstRow="1" w:lastRow="0" w:firstColumn="1" w:lastColumn="0" w:noHBand="0" w:noVBand="1"/>
      </w:tblPr>
      <w:tblGrid>
        <w:gridCol w:w="6408"/>
        <w:gridCol w:w="3780"/>
      </w:tblGrid>
      <w:tr w:rsidR="00CC0F27" w14:paraId="1F43E429" w14:textId="77777777">
        <w:tc>
          <w:tcPr>
            <w:tcW w:w="6408" w:type="dxa"/>
          </w:tcPr>
          <w:p w14:paraId="63328296" w14:textId="77777777" w:rsidR="00CC0F27" w:rsidRDefault="00CC0F27">
            <w:pPr>
              <w:rPr>
                <w:sz w:val="22"/>
                <w:szCs w:val="22"/>
              </w:rPr>
            </w:pPr>
          </w:p>
        </w:tc>
        <w:tc>
          <w:tcPr>
            <w:tcW w:w="3780" w:type="dxa"/>
          </w:tcPr>
          <w:p w14:paraId="23C8AEB4" w14:textId="77777777" w:rsidR="00CC0F27" w:rsidRDefault="00000000">
            <w:pPr>
              <w:pStyle w:val="3"/>
              <w:rPr>
                <w:b/>
                <w:sz w:val="22"/>
                <w:szCs w:val="22"/>
              </w:rPr>
            </w:pPr>
            <w:r>
              <w:rPr>
                <w:sz w:val="22"/>
                <w:szCs w:val="22"/>
              </w:rPr>
              <w:t xml:space="preserve"> </w:t>
            </w:r>
            <w:r>
              <w:rPr>
                <w:b/>
                <w:sz w:val="22"/>
                <w:szCs w:val="22"/>
              </w:rPr>
              <w:t>БЕКІТІЛДІ:</w:t>
            </w:r>
          </w:p>
          <w:p w14:paraId="64E2ECAE" w14:textId="77777777" w:rsidR="00CC0F27" w:rsidRDefault="00000000">
            <w:pPr>
              <w:pStyle w:val="3"/>
              <w:rPr>
                <w:sz w:val="22"/>
                <w:szCs w:val="22"/>
              </w:rPr>
            </w:pPr>
            <w:r>
              <w:rPr>
                <w:sz w:val="22"/>
                <w:szCs w:val="22"/>
              </w:rPr>
              <w:t>Директорлар кеңесінің шешімімен</w:t>
            </w:r>
          </w:p>
          <w:p w14:paraId="709EBF60" w14:textId="77777777" w:rsidR="00CC0F27" w:rsidRDefault="00000000">
            <w:pPr>
              <w:pStyle w:val="3"/>
              <w:rPr>
                <w:sz w:val="22"/>
                <w:szCs w:val="22"/>
              </w:rPr>
            </w:pPr>
            <w:r>
              <w:rPr>
                <w:sz w:val="22"/>
                <w:szCs w:val="22"/>
              </w:rPr>
              <w:t>Сентрас Секьюритиз» АҚ</w:t>
            </w:r>
          </w:p>
          <w:p w14:paraId="1520C2DC" w14:textId="77777777" w:rsidR="00CC0F27" w:rsidRDefault="00000000">
            <w:pPr>
              <w:pStyle w:val="3"/>
              <w:rPr>
                <w:sz w:val="22"/>
                <w:szCs w:val="22"/>
              </w:rPr>
            </w:pPr>
            <w:r>
              <w:rPr>
                <w:sz w:val="22"/>
                <w:szCs w:val="22"/>
              </w:rPr>
              <w:t>Директорлар кеңесінің 2013 жылғы 26 қыркүйектегі хаттамасы</w:t>
            </w:r>
          </w:p>
          <w:p w14:paraId="24E02480" w14:textId="77777777" w:rsidR="00CC0F27" w:rsidRDefault="00000000">
            <w:pPr>
              <w:pStyle w:val="3"/>
              <w:rPr>
                <w:sz w:val="22"/>
                <w:szCs w:val="22"/>
              </w:rPr>
            </w:pPr>
            <w:r>
              <w:rPr>
                <w:sz w:val="22"/>
                <w:szCs w:val="22"/>
              </w:rPr>
              <w:t>Директорлар кеңесінің 2020 жылғы 30 желтоқсандағы хаттамасы</w:t>
            </w:r>
          </w:p>
          <w:p w14:paraId="45E50D47" w14:textId="77777777" w:rsidR="00CC0F27" w:rsidRDefault="00CC0F27">
            <w:pPr>
              <w:pStyle w:val="3"/>
              <w:rPr>
                <w:sz w:val="22"/>
                <w:szCs w:val="22"/>
              </w:rPr>
            </w:pPr>
          </w:p>
          <w:p w14:paraId="7F3B4145" w14:textId="77777777" w:rsidR="00CC0F27" w:rsidRDefault="00CC0F27">
            <w:pPr>
              <w:rPr>
                <w:b/>
                <w:sz w:val="22"/>
                <w:szCs w:val="22"/>
              </w:rPr>
            </w:pPr>
          </w:p>
        </w:tc>
      </w:tr>
    </w:tbl>
    <w:p w14:paraId="0A94C88C" w14:textId="77777777" w:rsidR="00CC0F27" w:rsidRDefault="00CC0F27">
      <w:pPr>
        <w:rPr>
          <w:sz w:val="22"/>
          <w:szCs w:val="22"/>
        </w:rPr>
      </w:pPr>
    </w:p>
    <w:p w14:paraId="08DE5990" w14:textId="77777777" w:rsidR="00CC0F27" w:rsidRDefault="00CC0F27">
      <w:pPr>
        <w:rPr>
          <w:sz w:val="22"/>
          <w:szCs w:val="22"/>
        </w:rPr>
      </w:pPr>
    </w:p>
    <w:p w14:paraId="551E8D5A" w14:textId="77777777" w:rsidR="00CC0F27" w:rsidRDefault="00CC0F27">
      <w:pPr>
        <w:rPr>
          <w:sz w:val="22"/>
          <w:szCs w:val="22"/>
        </w:rPr>
      </w:pPr>
    </w:p>
    <w:p w14:paraId="10219DB3" w14:textId="77777777" w:rsidR="00CC0F27" w:rsidRDefault="00CC0F27">
      <w:pPr>
        <w:rPr>
          <w:sz w:val="22"/>
          <w:szCs w:val="22"/>
        </w:rPr>
      </w:pPr>
    </w:p>
    <w:p w14:paraId="74AB93FF" w14:textId="77777777" w:rsidR="00CC0F27" w:rsidRDefault="00CC0F27">
      <w:pPr>
        <w:rPr>
          <w:sz w:val="22"/>
          <w:szCs w:val="22"/>
        </w:rPr>
      </w:pPr>
    </w:p>
    <w:p w14:paraId="755991C6" w14:textId="77777777" w:rsidR="00CC0F27" w:rsidRDefault="00CC0F27">
      <w:pPr>
        <w:rPr>
          <w:sz w:val="22"/>
          <w:szCs w:val="22"/>
        </w:rPr>
      </w:pPr>
    </w:p>
    <w:p w14:paraId="083A47C1" w14:textId="77777777" w:rsidR="00CC0F27" w:rsidRDefault="00CC0F27">
      <w:pPr>
        <w:jc w:val="center"/>
        <w:outlineLvl w:val="0"/>
        <w:rPr>
          <w:b/>
          <w:sz w:val="22"/>
          <w:szCs w:val="22"/>
        </w:rPr>
      </w:pPr>
    </w:p>
    <w:p w14:paraId="3EDF5D1A" w14:textId="77777777" w:rsidR="00CC0F27" w:rsidRDefault="00CC0F27">
      <w:pPr>
        <w:jc w:val="center"/>
        <w:outlineLvl w:val="0"/>
        <w:rPr>
          <w:b/>
          <w:sz w:val="22"/>
          <w:szCs w:val="22"/>
        </w:rPr>
      </w:pPr>
    </w:p>
    <w:p w14:paraId="1A038BCF" w14:textId="77777777" w:rsidR="00CC0F27" w:rsidRDefault="00CC0F27">
      <w:pPr>
        <w:jc w:val="center"/>
        <w:outlineLvl w:val="0"/>
        <w:rPr>
          <w:b/>
          <w:sz w:val="22"/>
          <w:szCs w:val="22"/>
        </w:rPr>
      </w:pPr>
    </w:p>
    <w:p w14:paraId="1517441E" w14:textId="77777777" w:rsidR="00CC0F27" w:rsidRDefault="00000000">
      <w:pPr>
        <w:jc w:val="center"/>
        <w:outlineLvl w:val="0"/>
        <w:rPr>
          <w:b/>
          <w:sz w:val="28"/>
          <w:szCs w:val="28"/>
        </w:rPr>
      </w:pPr>
      <w:r>
        <w:rPr>
          <w:b/>
          <w:sz w:val="28"/>
          <w:szCs w:val="28"/>
        </w:rPr>
        <w:t>ЕРЕЖЕЛЕР</w:t>
      </w:r>
    </w:p>
    <w:p w14:paraId="389CE40D" w14:textId="77777777" w:rsidR="00CC0F27" w:rsidRDefault="00CC0F27">
      <w:pPr>
        <w:jc w:val="center"/>
        <w:outlineLvl w:val="0"/>
        <w:rPr>
          <w:b/>
          <w:sz w:val="28"/>
          <w:szCs w:val="28"/>
        </w:rPr>
      </w:pPr>
    </w:p>
    <w:p w14:paraId="75E5A68E" w14:textId="77777777" w:rsidR="00CC0F27" w:rsidRDefault="00000000">
      <w:pPr>
        <w:jc w:val="center"/>
        <w:outlineLvl w:val="0"/>
        <w:rPr>
          <w:b/>
          <w:sz w:val="28"/>
          <w:szCs w:val="28"/>
        </w:rPr>
      </w:pPr>
      <w:r>
        <w:rPr>
          <w:b/>
          <w:sz w:val="28"/>
          <w:szCs w:val="28"/>
        </w:rPr>
        <w:t>Инвестициялық портфельді басқару</w:t>
      </w:r>
    </w:p>
    <w:p w14:paraId="06337BA4" w14:textId="77777777" w:rsidR="00CC0F27" w:rsidRDefault="00CC0F27">
      <w:pPr>
        <w:jc w:val="center"/>
        <w:outlineLvl w:val="0"/>
        <w:rPr>
          <w:b/>
          <w:sz w:val="28"/>
          <w:szCs w:val="28"/>
        </w:rPr>
      </w:pPr>
    </w:p>
    <w:p w14:paraId="001B0558" w14:textId="77777777" w:rsidR="00CC0F27" w:rsidRPr="00FC386F" w:rsidRDefault="00000000">
      <w:pPr>
        <w:jc w:val="center"/>
        <w:outlineLvl w:val="0"/>
        <w:rPr>
          <w:b/>
          <w:sz w:val="28"/>
          <w:szCs w:val="28"/>
        </w:rPr>
      </w:pPr>
      <w:r>
        <w:rPr>
          <w:b/>
          <w:sz w:val="28"/>
          <w:szCs w:val="28"/>
        </w:rPr>
        <w:t>Сентрас Секьюритиз» АҚ</w:t>
      </w:r>
    </w:p>
    <w:p w14:paraId="27A8AE61" w14:textId="77777777" w:rsidR="00CC0F27" w:rsidRDefault="00CC0F27">
      <w:pPr>
        <w:jc w:val="center"/>
        <w:rPr>
          <w:b/>
          <w:sz w:val="22"/>
          <w:szCs w:val="22"/>
        </w:rPr>
      </w:pPr>
    </w:p>
    <w:p w14:paraId="0D367591" w14:textId="77777777" w:rsidR="00CC0F27" w:rsidRDefault="00CC0F27">
      <w:pPr>
        <w:jc w:val="center"/>
        <w:rPr>
          <w:b/>
          <w:sz w:val="22"/>
          <w:szCs w:val="22"/>
        </w:rPr>
      </w:pPr>
    </w:p>
    <w:p w14:paraId="7D48F19F" w14:textId="77777777" w:rsidR="00CC0F27" w:rsidRDefault="00CC0F27">
      <w:pPr>
        <w:jc w:val="center"/>
        <w:rPr>
          <w:b/>
          <w:sz w:val="22"/>
          <w:szCs w:val="22"/>
        </w:rPr>
      </w:pPr>
    </w:p>
    <w:p w14:paraId="726A5892" w14:textId="77777777" w:rsidR="00CC0F27" w:rsidRDefault="00CC0F27">
      <w:pPr>
        <w:jc w:val="center"/>
        <w:rPr>
          <w:b/>
          <w:sz w:val="22"/>
          <w:szCs w:val="22"/>
        </w:rPr>
      </w:pPr>
    </w:p>
    <w:p w14:paraId="74D4C3F5" w14:textId="77777777" w:rsidR="00CC0F27" w:rsidRDefault="00CC0F27">
      <w:pPr>
        <w:jc w:val="center"/>
        <w:rPr>
          <w:b/>
          <w:sz w:val="22"/>
          <w:szCs w:val="22"/>
        </w:rPr>
      </w:pPr>
    </w:p>
    <w:p w14:paraId="216E9600" w14:textId="77777777" w:rsidR="00CC0F27" w:rsidRDefault="00CC0F27">
      <w:pPr>
        <w:jc w:val="center"/>
        <w:rPr>
          <w:b/>
          <w:sz w:val="22"/>
          <w:szCs w:val="22"/>
        </w:rPr>
      </w:pPr>
    </w:p>
    <w:p w14:paraId="2A7D4B8D" w14:textId="77777777" w:rsidR="00CC0F27" w:rsidRDefault="00CC0F27">
      <w:pPr>
        <w:jc w:val="center"/>
        <w:rPr>
          <w:b/>
          <w:sz w:val="22"/>
          <w:szCs w:val="22"/>
        </w:rPr>
      </w:pPr>
    </w:p>
    <w:p w14:paraId="23C839FD" w14:textId="77777777" w:rsidR="00CC0F27" w:rsidRDefault="00CC0F27">
      <w:pPr>
        <w:jc w:val="center"/>
        <w:rPr>
          <w:b/>
          <w:sz w:val="22"/>
          <w:szCs w:val="22"/>
        </w:rPr>
      </w:pPr>
    </w:p>
    <w:p w14:paraId="5365699D" w14:textId="77777777" w:rsidR="00CC0F27" w:rsidRDefault="00CC0F27">
      <w:pPr>
        <w:jc w:val="center"/>
        <w:rPr>
          <w:b/>
          <w:sz w:val="22"/>
          <w:szCs w:val="22"/>
        </w:rPr>
      </w:pPr>
    </w:p>
    <w:p w14:paraId="7491898B" w14:textId="77777777" w:rsidR="00CC0F27" w:rsidRDefault="00CC0F27">
      <w:pPr>
        <w:jc w:val="center"/>
        <w:rPr>
          <w:b/>
          <w:sz w:val="22"/>
          <w:szCs w:val="22"/>
        </w:rPr>
      </w:pPr>
    </w:p>
    <w:p w14:paraId="0E568DB7" w14:textId="77777777" w:rsidR="00CC0F27" w:rsidRDefault="00CC0F27">
      <w:pPr>
        <w:jc w:val="center"/>
        <w:rPr>
          <w:b/>
          <w:sz w:val="22"/>
          <w:szCs w:val="22"/>
        </w:rPr>
      </w:pPr>
    </w:p>
    <w:p w14:paraId="29874E78" w14:textId="77777777" w:rsidR="00CC0F27" w:rsidRDefault="00CC0F27">
      <w:pPr>
        <w:jc w:val="center"/>
        <w:rPr>
          <w:b/>
          <w:sz w:val="22"/>
          <w:szCs w:val="22"/>
        </w:rPr>
      </w:pPr>
    </w:p>
    <w:p w14:paraId="46DA12C8" w14:textId="77777777" w:rsidR="00CC0F27" w:rsidRDefault="00CC0F27">
      <w:pPr>
        <w:jc w:val="center"/>
        <w:rPr>
          <w:b/>
          <w:sz w:val="22"/>
          <w:szCs w:val="22"/>
        </w:rPr>
      </w:pPr>
    </w:p>
    <w:p w14:paraId="370F5D8C" w14:textId="77777777" w:rsidR="00CC0F27" w:rsidRDefault="00CC0F27">
      <w:pPr>
        <w:jc w:val="center"/>
        <w:rPr>
          <w:b/>
          <w:sz w:val="22"/>
          <w:szCs w:val="22"/>
        </w:rPr>
      </w:pPr>
    </w:p>
    <w:p w14:paraId="638483FF" w14:textId="77777777" w:rsidR="00CC0F27" w:rsidRDefault="00CC0F27">
      <w:pPr>
        <w:pBdr>
          <w:bottom w:val="single" w:sz="6" w:space="31" w:color="auto"/>
        </w:pBdr>
        <w:jc w:val="center"/>
        <w:rPr>
          <w:b/>
          <w:sz w:val="22"/>
          <w:szCs w:val="22"/>
        </w:rPr>
      </w:pPr>
    </w:p>
    <w:p w14:paraId="6DC8BA0E" w14:textId="77777777" w:rsidR="00CC0F27" w:rsidRDefault="00CC0F27">
      <w:pPr>
        <w:pBdr>
          <w:bottom w:val="single" w:sz="6" w:space="31" w:color="auto"/>
        </w:pBdr>
        <w:jc w:val="center"/>
        <w:rPr>
          <w:b/>
          <w:sz w:val="22"/>
          <w:szCs w:val="22"/>
        </w:rPr>
      </w:pPr>
    </w:p>
    <w:p w14:paraId="4896A4EB" w14:textId="77777777" w:rsidR="00CC0F27" w:rsidRDefault="00CC0F27">
      <w:pPr>
        <w:pBdr>
          <w:bottom w:val="single" w:sz="6" w:space="31" w:color="auto"/>
        </w:pBdr>
        <w:jc w:val="center"/>
        <w:rPr>
          <w:b/>
          <w:sz w:val="22"/>
          <w:szCs w:val="22"/>
        </w:rPr>
      </w:pPr>
    </w:p>
    <w:p w14:paraId="5641B2B2" w14:textId="77777777" w:rsidR="00CC0F27" w:rsidRDefault="00CC0F27">
      <w:pPr>
        <w:pBdr>
          <w:bottom w:val="single" w:sz="6" w:space="31" w:color="auto"/>
        </w:pBdr>
        <w:jc w:val="center"/>
        <w:rPr>
          <w:b/>
          <w:sz w:val="22"/>
          <w:szCs w:val="22"/>
        </w:rPr>
      </w:pPr>
    </w:p>
    <w:p w14:paraId="31714303" w14:textId="77777777" w:rsidR="00CC0F27" w:rsidRDefault="00CC0F27">
      <w:pPr>
        <w:pBdr>
          <w:bottom w:val="single" w:sz="6" w:space="31" w:color="auto"/>
        </w:pBdr>
        <w:jc w:val="center"/>
        <w:rPr>
          <w:b/>
          <w:sz w:val="22"/>
          <w:szCs w:val="22"/>
        </w:rPr>
      </w:pPr>
    </w:p>
    <w:p w14:paraId="61249697" w14:textId="77777777" w:rsidR="00CC0F27" w:rsidRDefault="00CC0F27">
      <w:pPr>
        <w:pBdr>
          <w:bottom w:val="single" w:sz="6" w:space="31" w:color="auto"/>
        </w:pBdr>
        <w:jc w:val="center"/>
        <w:rPr>
          <w:b/>
          <w:sz w:val="22"/>
          <w:szCs w:val="22"/>
        </w:rPr>
      </w:pPr>
    </w:p>
    <w:p w14:paraId="53B20A27" w14:textId="77777777" w:rsidR="00CC0F27" w:rsidRDefault="00CC0F27">
      <w:pPr>
        <w:pBdr>
          <w:bottom w:val="single" w:sz="6" w:space="31" w:color="auto"/>
        </w:pBdr>
        <w:jc w:val="center"/>
        <w:rPr>
          <w:b/>
          <w:sz w:val="22"/>
          <w:szCs w:val="22"/>
        </w:rPr>
      </w:pPr>
    </w:p>
    <w:p w14:paraId="703C5833" w14:textId="77777777" w:rsidR="00CC0F27" w:rsidRDefault="00CC0F27">
      <w:pPr>
        <w:pBdr>
          <w:bottom w:val="single" w:sz="6" w:space="31" w:color="auto"/>
        </w:pBdr>
        <w:jc w:val="center"/>
        <w:rPr>
          <w:b/>
          <w:sz w:val="22"/>
          <w:szCs w:val="22"/>
        </w:rPr>
      </w:pPr>
    </w:p>
    <w:p w14:paraId="3759BABC" w14:textId="77777777" w:rsidR="00CC0F27" w:rsidRPr="001766D8" w:rsidRDefault="00CC0F27" w:rsidP="001766D8">
      <w:pPr>
        <w:pBdr>
          <w:bottom w:val="single" w:sz="6" w:space="31" w:color="auto"/>
        </w:pBdr>
        <w:rPr>
          <w:b/>
          <w:sz w:val="22"/>
          <w:szCs w:val="22"/>
          <w:lang w:val="ru-RU"/>
        </w:rPr>
      </w:pPr>
    </w:p>
    <w:p w14:paraId="085DA2C8" w14:textId="77777777" w:rsidR="00CC0F27" w:rsidRDefault="00000000">
      <w:pPr>
        <w:shd w:val="clear" w:color="auto" w:fill="FFFFFF"/>
        <w:tabs>
          <w:tab w:val="left" w:pos="-2880"/>
        </w:tabs>
        <w:jc w:val="center"/>
        <w:rPr>
          <w:b/>
          <w:bCs/>
          <w:sz w:val="22"/>
          <w:szCs w:val="22"/>
        </w:rPr>
      </w:pPr>
      <w:r>
        <w:rPr>
          <w:sz w:val="22"/>
          <w:szCs w:val="22"/>
        </w:rPr>
        <w:br w:type="page"/>
      </w:r>
      <w:r w:rsidRPr="001766D8">
        <w:rPr>
          <w:b/>
          <w:bCs/>
          <w:sz w:val="22"/>
          <w:szCs w:val="22"/>
        </w:rPr>
        <w:lastRenderedPageBreak/>
        <w:t xml:space="preserve">I </w:t>
      </w:r>
      <w:r>
        <w:rPr>
          <w:b/>
          <w:bCs/>
          <w:sz w:val="22"/>
          <w:szCs w:val="22"/>
        </w:rPr>
        <w:t>БӨЛІМ</w:t>
      </w:r>
    </w:p>
    <w:p w14:paraId="0B3A7607" w14:textId="77777777" w:rsidR="00CC0F27" w:rsidRDefault="00000000">
      <w:pPr>
        <w:pStyle w:val="ab"/>
        <w:ind w:left="2832" w:firstLine="708"/>
        <w:jc w:val="left"/>
        <w:rPr>
          <w:rFonts w:ascii="Times New Roman" w:hAnsi="Times New Roman"/>
          <w:b/>
          <w:sz w:val="22"/>
          <w:szCs w:val="22"/>
        </w:rPr>
      </w:pPr>
      <w:r>
        <w:rPr>
          <w:rFonts w:ascii="Times New Roman" w:hAnsi="Times New Roman"/>
          <w:b/>
          <w:sz w:val="22"/>
          <w:szCs w:val="22"/>
        </w:rPr>
        <w:t>ЖАЛПЫ ЕРЕЖЕЛЕР</w:t>
      </w:r>
    </w:p>
    <w:p w14:paraId="5CCE93D4" w14:textId="77777777" w:rsidR="00CC0F27" w:rsidRDefault="00CC0F27">
      <w:pPr>
        <w:pStyle w:val="ab"/>
        <w:ind w:left="2832" w:firstLine="708"/>
        <w:jc w:val="left"/>
        <w:rPr>
          <w:rFonts w:ascii="Times New Roman" w:hAnsi="Times New Roman"/>
          <w:b/>
          <w:sz w:val="22"/>
          <w:szCs w:val="22"/>
        </w:rPr>
      </w:pPr>
    </w:p>
    <w:p w14:paraId="7C0A0913" w14:textId="77777777" w:rsidR="00CC0F27" w:rsidRDefault="00000000">
      <w:pPr>
        <w:pStyle w:val="ab"/>
        <w:rPr>
          <w:rFonts w:ascii="Times New Roman" w:hAnsi="Times New Roman"/>
          <w:color w:val="auto"/>
          <w:sz w:val="22"/>
          <w:szCs w:val="22"/>
        </w:rPr>
      </w:pPr>
      <w:r>
        <w:rPr>
          <w:rFonts w:ascii="Times New Roman" w:hAnsi="Times New Roman"/>
          <w:sz w:val="22"/>
          <w:szCs w:val="22"/>
        </w:rPr>
        <w:t xml:space="preserve">1. </w:t>
      </w:r>
      <w:r>
        <w:rPr>
          <w:rFonts w:ascii="Times New Roman" w:hAnsi="Times New Roman"/>
          <w:color w:val="auto"/>
          <w:sz w:val="22"/>
          <w:szCs w:val="22"/>
        </w:rPr>
        <w:t>Осы Ереже инвестициялық портфельді басқарушылардың қызметін реттейтін нормативтік құқықтық актілерге сәйкес әзірленді.</w:t>
      </w:r>
    </w:p>
    <w:p w14:paraId="280B0EAC" w14:textId="77777777" w:rsidR="00CC0F27" w:rsidRDefault="00000000">
      <w:pPr>
        <w:pStyle w:val="ab"/>
        <w:rPr>
          <w:rFonts w:ascii="Times New Roman" w:hAnsi="Times New Roman"/>
          <w:color w:val="auto"/>
          <w:sz w:val="22"/>
          <w:szCs w:val="22"/>
        </w:rPr>
      </w:pPr>
      <w:r>
        <w:rPr>
          <w:rFonts w:ascii="Times New Roman" w:hAnsi="Times New Roman"/>
          <w:sz w:val="22"/>
          <w:szCs w:val="22"/>
        </w:rPr>
        <w:t xml:space="preserve">2. Ереже </w:t>
      </w:r>
      <w:r>
        <w:rPr>
          <w:rFonts w:ascii="Times New Roman" w:hAnsi="Times New Roman"/>
          <w:color w:val="auto"/>
          <w:sz w:val="22"/>
          <w:szCs w:val="22"/>
        </w:rPr>
        <w:t>жеке клиенттерге және инвестициялық қорларға (бұдан әрі – Клиент) тиесілі инвестициялық портфельді басқару бойынша « Сентрас Секьюритиз» АҚ (бұдан әрі – Қоғам) қызметінің шарттары мен тәртібін айқындайды .</w:t>
      </w:r>
    </w:p>
    <w:p w14:paraId="4B3E9E32" w14:textId="77777777" w:rsidR="00CC0F27" w:rsidRDefault="00000000">
      <w:pPr>
        <w:pStyle w:val="ab"/>
        <w:rPr>
          <w:rFonts w:ascii="Times New Roman" w:hAnsi="Times New Roman"/>
          <w:color w:val="auto"/>
          <w:sz w:val="22"/>
          <w:szCs w:val="22"/>
        </w:rPr>
      </w:pPr>
      <w:r>
        <w:rPr>
          <w:rFonts w:ascii="Times New Roman" w:hAnsi="Times New Roman"/>
          <w:sz w:val="22"/>
          <w:szCs w:val="22"/>
        </w:rPr>
        <w:t xml:space="preserve">3. </w:t>
      </w:r>
      <w:r>
        <w:rPr>
          <w:rFonts w:ascii="Times New Roman" w:hAnsi="Times New Roman"/>
          <w:color w:val="auto"/>
          <w:sz w:val="22"/>
          <w:szCs w:val="22"/>
        </w:rPr>
        <w:t>Инвестициялық портфель компания басқаратын және ақшадан, қаржы құралдарынан, сондай-ақ инвестициялық қорлардың мүліктік және мүліктік құқықтарынан тұратын активтерді білдіреді.</w:t>
      </w:r>
    </w:p>
    <w:p w14:paraId="3C47C978" w14:textId="77777777" w:rsidR="00CC0F27" w:rsidRDefault="00000000">
      <w:pPr>
        <w:pStyle w:val="af0"/>
        <w:jc w:val="both"/>
        <w:rPr>
          <w:sz w:val="22"/>
          <w:szCs w:val="22"/>
        </w:rPr>
      </w:pPr>
      <w:r>
        <w:rPr>
          <w:sz w:val="22"/>
          <w:szCs w:val="22"/>
        </w:rPr>
        <w:t>4. Қолданылған аббревиатуралар тізімі:</w:t>
      </w:r>
    </w:p>
    <w:p w14:paraId="2908CA40" w14:textId="77777777" w:rsidR="00CC0F27" w:rsidRDefault="00000000">
      <w:pPr>
        <w:pStyle w:val="af0"/>
        <w:ind w:left="142" w:hanging="142"/>
        <w:jc w:val="both"/>
        <w:rPr>
          <w:sz w:val="22"/>
          <w:szCs w:val="22"/>
        </w:rPr>
      </w:pPr>
      <w:r>
        <w:rPr>
          <w:sz w:val="22"/>
          <w:szCs w:val="22"/>
        </w:rPr>
        <w:t>Менеджердің ішкі нормативтік құжаттары – ВНД</w:t>
      </w:r>
    </w:p>
    <w:p w14:paraId="5143C1EE" w14:textId="77777777" w:rsidR="00CC0F27" w:rsidRDefault="00000000">
      <w:pPr>
        <w:pStyle w:val="af0"/>
        <w:ind w:left="142" w:hanging="142"/>
        <w:jc w:val="both"/>
        <w:rPr>
          <w:sz w:val="22"/>
          <w:szCs w:val="22"/>
        </w:rPr>
      </w:pPr>
      <w:r>
        <w:rPr>
          <w:sz w:val="22"/>
          <w:szCs w:val="22"/>
        </w:rPr>
        <w:t>Қазақстан Республикасы – ҚР</w:t>
      </w:r>
    </w:p>
    <w:p w14:paraId="2F73A8A5" w14:textId="77777777" w:rsidR="00CC0F27" w:rsidRDefault="00000000">
      <w:pPr>
        <w:pStyle w:val="af0"/>
        <w:ind w:left="142" w:hanging="142"/>
        <w:jc w:val="both"/>
        <w:rPr>
          <w:color w:val="000000"/>
          <w:sz w:val="22"/>
          <w:szCs w:val="22"/>
        </w:rPr>
      </w:pPr>
      <w:r>
        <w:rPr>
          <w:color w:val="000000"/>
          <w:sz w:val="22"/>
          <w:szCs w:val="22"/>
        </w:rPr>
        <w:t>Қаржы құралдары – FI</w:t>
      </w:r>
    </w:p>
    <w:p w14:paraId="03198BF9" w14:textId="77777777" w:rsidR="00CC0F27" w:rsidRDefault="00000000">
      <w:pPr>
        <w:pStyle w:val="af0"/>
        <w:ind w:left="142" w:hanging="142"/>
        <w:jc w:val="both"/>
        <w:rPr>
          <w:sz w:val="22"/>
          <w:szCs w:val="22"/>
        </w:rPr>
      </w:pPr>
      <w:r>
        <w:rPr>
          <w:color w:val="000000"/>
          <w:sz w:val="22"/>
          <w:szCs w:val="22"/>
        </w:rPr>
        <w:t>Қауіпсіздік - Орталық банк</w:t>
      </w:r>
    </w:p>
    <w:p w14:paraId="061B949F" w14:textId="77777777" w:rsidR="00CC0F27" w:rsidRDefault="00000000">
      <w:pPr>
        <w:pStyle w:val="af0"/>
        <w:ind w:left="142" w:hanging="142"/>
        <w:jc w:val="both"/>
        <w:rPr>
          <w:sz w:val="22"/>
          <w:szCs w:val="22"/>
        </w:rPr>
      </w:pPr>
      <w:r>
        <w:rPr>
          <w:sz w:val="22"/>
          <w:szCs w:val="22"/>
        </w:rPr>
        <w:t>Халықаралық қаржылық есептілік стандарттары – ХҚЕС</w:t>
      </w:r>
    </w:p>
    <w:p w14:paraId="6B213DFA" w14:textId="77777777" w:rsidR="00CC0F27" w:rsidRDefault="00000000">
      <w:pPr>
        <w:pStyle w:val="af0"/>
        <w:ind w:left="142" w:hanging="142"/>
        <w:jc w:val="both"/>
        <w:rPr>
          <w:sz w:val="22"/>
          <w:szCs w:val="22"/>
        </w:rPr>
      </w:pPr>
      <w:r>
        <w:rPr>
          <w:sz w:val="22"/>
          <w:szCs w:val="22"/>
        </w:rPr>
        <w:t>Сенімгерлік активтерді басқару – RUA</w:t>
      </w:r>
    </w:p>
    <w:p w14:paraId="755382B7" w14:textId="77777777" w:rsidR="00CC0F27" w:rsidRDefault="00000000">
      <w:pPr>
        <w:pStyle w:val="af0"/>
        <w:ind w:left="142" w:hanging="142"/>
        <w:jc w:val="both"/>
        <w:rPr>
          <w:sz w:val="22"/>
          <w:szCs w:val="22"/>
        </w:rPr>
      </w:pPr>
      <w:r>
        <w:rPr>
          <w:sz w:val="22"/>
          <w:szCs w:val="22"/>
        </w:rPr>
        <w:t>Сенімді басқару – DM</w:t>
      </w:r>
    </w:p>
    <w:p w14:paraId="1FCA8E8F" w14:textId="77777777" w:rsidR="00CC0F27" w:rsidRDefault="00000000">
      <w:pPr>
        <w:pStyle w:val="af0"/>
        <w:ind w:left="142" w:hanging="142"/>
        <w:jc w:val="both"/>
        <w:rPr>
          <w:sz w:val="22"/>
          <w:szCs w:val="22"/>
        </w:rPr>
      </w:pPr>
      <w:r>
        <w:rPr>
          <w:sz w:val="22"/>
          <w:szCs w:val="22"/>
        </w:rPr>
        <w:t>Инвестициялық портфельді басқару туралы келісім – Келісім</w:t>
      </w:r>
    </w:p>
    <w:p w14:paraId="38CBC2F7" w14:textId="77777777" w:rsidR="00CC0F27" w:rsidRDefault="00000000">
      <w:pPr>
        <w:pStyle w:val="af0"/>
        <w:ind w:left="142" w:hanging="142"/>
        <w:jc w:val="both"/>
        <w:rPr>
          <w:sz w:val="22"/>
          <w:szCs w:val="22"/>
        </w:rPr>
      </w:pPr>
      <w:r>
        <w:rPr>
          <w:sz w:val="22"/>
          <w:szCs w:val="22"/>
        </w:rPr>
        <w:t>Акционерлік инвестициялық қор – АИФ</w:t>
      </w:r>
    </w:p>
    <w:p w14:paraId="7C034E5A" w14:textId="77777777" w:rsidR="00CC0F27" w:rsidRDefault="00000000">
      <w:pPr>
        <w:pStyle w:val="af0"/>
        <w:ind w:left="142" w:hanging="142"/>
        <w:jc w:val="both"/>
        <w:rPr>
          <w:sz w:val="22"/>
          <w:szCs w:val="22"/>
        </w:rPr>
      </w:pPr>
      <w:r>
        <w:rPr>
          <w:sz w:val="22"/>
          <w:szCs w:val="22"/>
        </w:rPr>
        <w:t>Пайлық инвестициялық қор – ПИФ</w:t>
      </w:r>
    </w:p>
    <w:p w14:paraId="25E1BD9F" w14:textId="77777777" w:rsidR="00CC0F27" w:rsidRDefault="00000000">
      <w:pPr>
        <w:pStyle w:val="af0"/>
        <w:ind w:left="142" w:hanging="142"/>
        <w:jc w:val="both"/>
        <w:rPr>
          <w:sz w:val="22"/>
          <w:szCs w:val="22"/>
        </w:rPr>
      </w:pPr>
      <w:r>
        <w:rPr>
          <w:sz w:val="22"/>
          <w:szCs w:val="22"/>
        </w:rPr>
        <w:t>Инвестициялық қор – IF</w:t>
      </w:r>
    </w:p>
    <w:p w14:paraId="60343807" w14:textId="77777777" w:rsidR="00CC0F27" w:rsidRDefault="00000000">
      <w:pPr>
        <w:pStyle w:val="af0"/>
        <w:ind w:left="142" w:hanging="142"/>
        <w:jc w:val="both"/>
        <w:rPr>
          <w:sz w:val="22"/>
          <w:szCs w:val="22"/>
        </w:rPr>
      </w:pPr>
      <w:r>
        <w:rPr>
          <w:sz w:val="22"/>
          <w:szCs w:val="22"/>
        </w:rPr>
        <w:t>Инвестициялық портфельді басқару – IUP</w:t>
      </w:r>
    </w:p>
    <w:p w14:paraId="4E565862" w14:textId="77777777" w:rsidR="00CC0F27" w:rsidRDefault="00000000">
      <w:pPr>
        <w:pStyle w:val="af0"/>
        <w:ind w:left="142" w:hanging="142"/>
        <w:jc w:val="both"/>
        <w:rPr>
          <w:sz w:val="22"/>
          <w:szCs w:val="22"/>
        </w:rPr>
      </w:pPr>
      <w:r>
        <w:rPr>
          <w:sz w:val="22"/>
          <w:szCs w:val="22"/>
        </w:rPr>
        <w:t>Инвестициялар жөніндегі комитет – IC</w:t>
      </w:r>
    </w:p>
    <w:p w14:paraId="61897A65" w14:textId="77777777" w:rsidR="00CC0F27" w:rsidRDefault="00000000">
      <w:pPr>
        <w:pStyle w:val="af0"/>
        <w:ind w:left="142" w:hanging="142"/>
        <w:jc w:val="both"/>
        <w:rPr>
          <w:sz w:val="22"/>
          <w:szCs w:val="22"/>
        </w:rPr>
      </w:pPr>
      <w:r>
        <w:rPr>
          <w:sz w:val="22"/>
          <w:szCs w:val="22"/>
        </w:rPr>
        <w:t>Инвестициялық декларация – ID</w:t>
      </w:r>
    </w:p>
    <w:p w14:paraId="722969E0" w14:textId="77777777" w:rsidR="00CC0F27" w:rsidRDefault="00000000">
      <w:pPr>
        <w:pStyle w:val="af0"/>
        <w:ind w:left="142" w:hanging="142"/>
        <w:jc w:val="both"/>
        <w:rPr>
          <w:sz w:val="22"/>
          <w:szCs w:val="22"/>
        </w:rPr>
      </w:pPr>
      <w:r>
        <w:rPr>
          <w:sz w:val="22"/>
          <w:szCs w:val="22"/>
        </w:rPr>
        <w:t>Клиенттің инвестициялық портфелі – Портфолио</w:t>
      </w:r>
    </w:p>
    <w:p w14:paraId="39CFB9E0" w14:textId="77777777" w:rsidR="00CC0F27" w:rsidRDefault="00000000">
      <w:pPr>
        <w:pStyle w:val="af0"/>
        <w:ind w:left="142" w:hanging="142"/>
        <w:jc w:val="both"/>
        <w:rPr>
          <w:sz w:val="22"/>
          <w:szCs w:val="22"/>
        </w:rPr>
      </w:pPr>
      <w:r>
        <w:rPr>
          <w:sz w:val="22"/>
          <w:szCs w:val="22"/>
        </w:rPr>
        <w:t>Инвестициялық шешім – IR</w:t>
      </w:r>
    </w:p>
    <w:p w14:paraId="711A97D2" w14:textId="77777777" w:rsidR="00CC0F27" w:rsidRDefault="00CC0F27">
      <w:pPr>
        <w:shd w:val="clear" w:color="auto" w:fill="FFFFFF"/>
        <w:tabs>
          <w:tab w:val="left" w:pos="-2880"/>
        </w:tabs>
        <w:jc w:val="both"/>
        <w:rPr>
          <w:b/>
          <w:bCs/>
          <w:sz w:val="22"/>
          <w:szCs w:val="22"/>
        </w:rPr>
      </w:pPr>
    </w:p>
    <w:p w14:paraId="243F3E24" w14:textId="3B7D5D59" w:rsidR="00CC0F27" w:rsidRDefault="001766D8">
      <w:pPr>
        <w:shd w:val="clear" w:color="auto" w:fill="FFFFFF"/>
        <w:tabs>
          <w:tab w:val="left" w:pos="-2880"/>
        </w:tabs>
        <w:jc w:val="center"/>
        <w:rPr>
          <w:b/>
          <w:bCs/>
          <w:sz w:val="22"/>
          <w:szCs w:val="22"/>
        </w:rPr>
      </w:pPr>
      <w:r w:rsidRPr="001766D8">
        <w:rPr>
          <w:b/>
          <w:bCs/>
          <w:sz w:val="22"/>
          <w:szCs w:val="22"/>
        </w:rPr>
        <w:t>I I</w:t>
      </w:r>
      <w:r>
        <w:rPr>
          <w:b/>
          <w:bCs/>
          <w:sz w:val="22"/>
          <w:szCs w:val="22"/>
        </w:rPr>
        <w:t xml:space="preserve"> БӨЛІМІ</w:t>
      </w:r>
    </w:p>
    <w:p w14:paraId="293F9F74" w14:textId="77777777" w:rsidR="00CC0F27" w:rsidRDefault="00000000">
      <w:pPr>
        <w:shd w:val="clear" w:color="auto" w:fill="FFFFFF"/>
        <w:tabs>
          <w:tab w:val="left" w:pos="-2880"/>
        </w:tabs>
        <w:jc w:val="center"/>
        <w:rPr>
          <w:b/>
          <w:bCs/>
          <w:sz w:val="22"/>
          <w:szCs w:val="22"/>
        </w:rPr>
      </w:pPr>
      <w:r>
        <w:rPr>
          <w:b/>
          <w:bCs/>
          <w:sz w:val="22"/>
          <w:szCs w:val="22"/>
        </w:rPr>
        <w:t>Басқаруға ақша мен бағалы қағаздарды қабылдау тәртібі</w:t>
      </w:r>
    </w:p>
    <w:p w14:paraId="08D4FDB6" w14:textId="77777777" w:rsidR="00CC0F27" w:rsidRDefault="00CC0F27">
      <w:pPr>
        <w:shd w:val="clear" w:color="auto" w:fill="FFFFFF"/>
        <w:tabs>
          <w:tab w:val="left" w:pos="-2880"/>
        </w:tabs>
        <w:jc w:val="center"/>
        <w:rPr>
          <w:b/>
          <w:bCs/>
          <w:sz w:val="22"/>
          <w:szCs w:val="22"/>
        </w:rPr>
      </w:pPr>
    </w:p>
    <w:p w14:paraId="6E15D70D" w14:textId="77777777" w:rsidR="00CC0F27" w:rsidRDefault="00000000">
      <w:pPr>
        <w:numPr>
          <w:ilvl w:val="0"/>
          <w:numId w:val="1"/>
        </w:numPr>
        <w:shd w:val="clear" w:color="auto" w:fill="FFFFFF"/>
        <w:tabs>
          <w:tab w:val="left" w:pos="-2880"/>
          <w:tab w:val="left" w:pos="540"/>
        </w:tabs>
        <w:jc w:val="both"/>
        <w:rPr>
          <w:sz w:val="22"/>
          <w:szCs w:val="22"/>
        </w:rPr>
      </w:pPr>
      <w:r>
        <w:rPr>
          <w:sz w:val="22"/>
          <w:szCs w:val="22"/>
        </w:rPr>
        <w:t>Компания IUP-ті жасалған басқару шартының талаптарына, ID, FI ережелеріне, АИФ акцияларын шығару проспектісіне, сондай-ақ кастодиан банкпен (бұдан әрі - Кастодиан ) және шарттарға сәйкес жүзеге асырады. клиенттердің бағалы қағаздарының тізілімдерінің жүйесін жүргізетін тіркеуші (бұдан әрі – Тіркеуші).</w:t>
      </w:r>
    </w:p>
    <w:p w14:paraId="56E806CE" w14:textId="77777777" w:rsidR="00CC0F27" w:rsidRDefault="00000000">
      <w:pPr>
        <w:numPr>
          <w:ilvl w:val="0"/>
          <w:numId w:val="1"/>
        </w:numPr>
        <w:shd w:val="clear" w:color="auto" w:fill="FFFFFF"/>
        <w:tabs>
          <w:tab w:val="left" w:pos="-2880"/>
        </w:tabs>
        <w:jc w:val="both"/>
        <w:rPr>
          <w:sz w:val="22"/>
          <w:szCs w:val="22"/>
        </w:rPr>
      </w:pPr>
      <w:r>
        <w:rPr>
          <w:sz w:val="22"/>
          <w:szCs w:val="22"/>
        </w:rPr>
        <w:t>Клиент активтері компания активтерінен бөлек. Егер компания бірнеше клиенттерді басқаруды басқарса, олардың есебі бөлек жүргізіледі.</w:t>
      </w:r>
    </w:p>
    <w:p w14:paraId="1E59FB0F" w14:textId="77777777" w:rsidR="00CC0F27" w:rsidRDefault="00000000">
      <w:pPr>
        <w:numPr>
          <w:ilvl w:val="0"/>
          <w:numId w:val="1"/>
        </w:numPr>
        <w:shd w:val="clear" w:color="auto" w:fill="FFFFFF"/>
        <w:tabs>
          <w:tab w:val="left" w:pos="-2880"/>
        </w:tabs>
        <w:jc w:val="both"/>
        <w:rPr>
          <w:sz w:val="22"/>
          <w:szCs w:val="22"/>
        </w:rPr>
      </w:pPr>
      <w:r>
        <w:rPr>
          <w:sz w:val="22"/>
          <w:szCs w:val="22"/>
        </w:rPr>
        <w:t>Кастодианда кастодиандық шот ашылады .</w:t>
      </w:r>
    </w:p>
    <w:p w14:paraId="7D012957" w14:textId="77777777" w:rsidR="00CC0F27" w:rsidRDefault="00000000">
      <w:pPr>
        <w:numPr>
          <w:ilvl w:val="0"/>
          <w:numId w:val="1"/>
        </w:numPr>
        <w:shd w:val="clear" w:color="auto" w:fill="FFFFFF"/>
        <w:tabs>
          <w:tab w:val="left" w:pos="-2880"/>
        </w:tabs>
        <w:jc w:val="both"/>
        <w:rPr>
          <w:sz w:val="22"/>
          <w:szCs w:val="22"/>
        </w:rPr>
      </w:pPr>
      <w:r>
        <w:rPr>
          <w:sz w:val="22"/>
          <w:szCs w:val="22"/>
        </w:rPr>
        <w:t>Компания кастодиандық шарттың талаптарына сәйкес кастодианмен кастодиандық шотты дербес басқарады және осы шоттың операторы болып табылады.</w:t>
      </w:r>
    </w:p>
    <w:p w14:paraId="309BE5F8" w14:textId="77777777" w:rsidR="00CC0F27" w:rsidRDefault="00000000">
      <w:pPr>
        <w:tabs>
          <w:tab w:val="left" w:pos="0"/>
          <w:tab w:val="left" w:pos="1152"/>
        </w:tabs>
        <w:jc w:val="both"/>
        <w:rPr>
          <w:sz w:val="22"/>
          <w:szCs w:val="22"/>
        </w:rPr>
      </w:pPr>
      <w:r>
        <w:rPr>
          <w:sz w:val="22"/>
          <w:szCs w:val="22"/>
        </w:rPr>
        <w:t>5. Сенімгерлікпен басқару шарты жазбаша нысанда жасалуға тиіс. Сенімгерлікпен басқару шарты тараптарының келісімі бойынша оған Қазақстан Республикасының заңнамасына қайшы келмейтін өзгерістер мен толықтырулар енгізілуі мүмкін.</w:t>
      </w:r>
    </w:p>
    <w:p w14:paraId="67D21C34" w14:textId="77777777" w:rsidR="00CC0F27" w:rsidRDefault="00000000">
      <w:pPr>
        <w:tabs>
          <w:tab w:val="left" w:pos="540"/>
          <w:tab w:val="left" w:pos="1152"/>
        </w:tabs>
        <w:ind w:left="540" w:hanging="540"/>
        <w:jc w:val="both"/>
        <w:rPr>
          <w:sz w:val="22"/>
          <w:szCs w:val="22"/>
        </w:rPr>
      </w:pPr>
      <w:r>
        <w:rPr>
          <w:sz w:val="22"/>
          <w:szCs w:val="22"/>
        </w:rPr>
        <w:t>6. Инвестициялық қорды басқару шартының және ережелерінің ажырамас бөлігі жеке куәлік болып табылады.</w:t>
      </w:r>
    </w:p>
    <w:p w14:paraId="0290F12D" w14:textId="77777777" w:rsidR="00CC0F27" w:rsidRDefault="00000000">
      <w:pPr>
        <w:tabs>
          <w:tab w:val="left" w:pos="540"/>
          <w:tab w:val="left" w:pos="1152"/>
        </w:tabs>
        <w:jc w:val="both"/>
        <w:rPr>
          <w:sz w:val="22"/>
          <w:szCs w:val="22"/>
        </w:rPr>
      </w:pPr>
      <w:r>
        <w:rPr>
          <w:sz w:val="22"/>
          <w:szCs w:val="22"/>
        </w:rPr>
        <w:t>7. Қашықтан басқару шартын жасасу үшін клиент келесі құжаттарды ұсынады:</w:t>
      </w:r>
    </w:p>
    <w:p w14:paraId="0D810F9C" w14:textId="77777777" w:rsidR="00CC0F27" w:rsidRDefault="00000000">
      <w:pPr>
        <w:ind w:firstLine="400"/>
        <w:jc w:val="both"/>
        <w:rPr>
          <w:sz w:val="22"/>
          <w:szCs w:val="22"/>
        </w:rPr>
      </w:pPr>
      <w:r>
        <w:rPr>
          <w:rStyle w:val="s0"/>
          <w:sz w:val="22"/>
          <w:szCs w:val="22"/>
        </w:rPr>
        <w:t>1) жеке тұлғалар үшін – клиенттің жеке басын куәландыратын құжаттың көшірмесі;</w:t>
      </w:r>
    </w:p>
    <w:p w14:paraId="2B40995C" w14:textId="77777777" w:rsidR="00CC0F27" w:rsidRDefault="00000000">
      <w:pPr>
        <w:ind w:firstLine="400"/>
        <w:jc w:val="both"/>
        <w:rPr>
          <w:sz w:val="22"/>
          <w:szCs w:val="22"/>
        </w:rPr>
      </w:pPr>
      <w:r>
        <w:rPr>
          <w:rStyle w:val="s0"/>
          <w:sz w:val="22"/>
          <w:szCs w:val="22"/>
        </w:rPr>
        <w:t>2) клиенттер – заңды тұлғалар (Қазақстан Республикасының резиденттері) үшін:</w:t>
      </w:r>
    </w:p>
    <w:p w14:paraId="6848260D" w14:textId="77777777" w:rsidR="00CC0F27" w:rsidRDefault="00000000">
      <w:pPr>
        <w:jc w:val="both"/>
        <w:rPr>
          <w:sz w:val="22"/>
          <w:szCs w:val="22"/>
        </w:rPr>
      </w:pPr>
      <w:r>
        <w:rPr>
          <w:rStyle w:val="s0"/>
          <w:sz w:val="22"/>
          <w:szCs w:val="22"/>
        </w:rPr>
        <w:t>жарғының (болған жағдайда), заңды тұлғаны мемлекеттік тіркеу (қайта тіркеу) туралы куәліктің көшірмелері;</w:t>
      </w:r>
    </w:p>
    <w:p w14:paraId="32E8B370" w14:textId="77777777" w:rsidR="00CC0F27" w:rsidRDefault="00000000">
      <w:pPr>
        <w:ind w:firstLine="400"/>
        <w:jc w:val="both"/>
        <w:rPr>
          <w:sz w:val="22"/>
          <w:szCs w:val="22"/>
        </w:rPr>
      </w:pPr>
      <w:r>
        <w:rPr>
          <w:rStyle w:val="s0"/>
          <w:sz w:val="22"/>
          <w:szCs w:val="22"/>
        </w:rPr>
        <w:t>қол қою үлгісі бар нотариалды куәландырылған құжат (соның ішінде клиент атынан келісімге өзгерістер мен толықтыруларға, активтерді инвестициялық басқаруға қабылдау-тапсыру актілеріне және өзара іс-қимыл процесіндегі құжаттарға қол қоюға құқығы бар заңды тұлғаның өкілдері клиент және инвестициялық портфельді басқарушы);</w:t>
      </w:r>
    </w:p>
    <w:p w14:paraId="2438AD0D" w14:textId="77777777" w:rsidR="00CC0F27" w:rsidRDefault="00000000">
      <w:pPr>
        <w:ind w:firstLine="400"/>
        <w:jc w:val="both"/>
        <w:rPr>
          <w:sz w:val="22"/>
          <w:szCs w:val="22"/>
        </w:rPr>
      </w:pPr>
      <w:r>
        <w:rPr>
          <w:rStyle w:val="s0"/>
          <w:sz w:val="22"/>
          <w:szCs w:val="22"/>
        </w:rPr>
        <w:lastRenderedPageBreak/>
        <w:t>3) Қазақстан Республикасының резидент емес заңды тұлғалары – клиенттер үшін:</w:t>
      </w:r>
    </w:p>
    <w:p w14:paraId="2D538BA3" w14:textId="77777777" w:rsidR="00CC0F27" w:rsidRDefault="00000000">
      <w:pPr>
        <w:ind w:firstLine="400"/>
        <w:jc w:val="both"/>
        <w:rPr>
          <w:sz w:val="22"/>
          <w:szCs w:val="22"/>
        </w:rPr>
      </w:pPr>
      <w:r>
        <w:rPr>
          <w:rStyle w:val="s0"/>
          <w:sz w:val="22"/>
          <w:szCs w:val="22"/>
        </w:rPr>
        <w:t>жарғының көшірмесі (бар болса);</w:t>
      </w:r>
    </w:p>
    <w:p w14:paraId="7920C3BA" w14:textId="77777777" w:rsidR="00CC0F27" w:rsidRDefault="00000000">
      <w:pPr>
        <w:ind w:firstLine="400"/>
        <w:jc w:val="both"/>
        <w:rPr>
          <w:sz w:val="22"/>
          <w:szCs w:val="22"/>
        </w:rPr>
      </w:pPr>
      <w:r>
        <w:rPr>
          <w:rStyle w:val="s0"/>
          <w:sz w:val="22"/>
          <w:szCs w:val="22"/>
        </w:rPr>
        <w:t>Қазақстан Республикасының резидент емес мемлекеттің уәкілетті органы берген заңды тұлғаның мемлекеттік тіркелгенін растайтын құжаттың көшірмесі;</w:t>
      </w:r>
    </w:p>
    <w:p w14:paraId="7901BCC4" w14:textId="77777777" w:rsidR="00CC0F27" w:rsidRDefault="00000000">
      <w:pPr>
        <w:ind w:firstLine="400"/>
        <w:jc w:val="both"/>
        <w:rPr>
          <w:sz w:val="22"/>
          <w:szCs w:val="22"/>
        </w:rPr>
      </w:pPr>
      <w:r>
        <w:rPr>
          <w:rStyle w:val="s0"/>
          <w:sz w:val="22"/>
          <w:szCs w:val="22"/>
        </w:rPr>
        <w:t>қол қою үлгісі бар құжат ( шартқа өзгерістер мен толықтыруларға, активтерді инвестициялық басқаруға қабылдау-беру актілеріне және клиент пен инвестициялық портфельді басқарушының өзара іс-қимылы процесіндегі құжаттарға өзгерістер мен толықтыруларға қол қоюға құқығы бар заңды тұлға өкілдерін қоса алғанда ;</w:t>
      </w:r>
    </w:p>
    <w:p w14:paraId="52B39154" w14:textId="77777777" w:rsidR="00CC0F27" w:rsidRDefault="00000000">
      <w:pPr>
        <w:ind w:firstLine="400"/>
        <w:jc w:val="both"/>
        <w:rPr>
          <w:sz w:val="22"/>
          <w:szCs w:val="22"/>
        </w:rPr>
      </w:pPr>
      <w:r>
        <w:rPr>
          <w:rStyle w:val="s0"/>
          <w:sz w:val="22"/>
          <w:szCs w:val="22"/>
        </w:rPr>
        <w:t>заңды тұлғаның келісім жасасатын және (немесе) әрекеттерді жүзеге асыратын өкіліне қатысты заңды тұлғаның уәкілетті органының сенімхаты немесе шешімі;</w:t>
      </w:r>
    </w:p>
    <w:p w14:paraId="4DDB3388" w14:textId="77777777" w:rsidR="00CC0F27" w:rsidRDefault="00000000">
      <w:pPr>
        <w:ind w:firstLine="400"/>
        <w:jc w:val="both"/>
        <w:rPr>
          <w:sz w:val="22"/>
          <w:szCs w:val="22"/>
        </w:rPr>
      </w:pPr>
      <w:r>
        <w:rPr>
          <w:rStyle w:val="s0"/>
          <w:sz w:val="22"/>
          <w:szCs w:val="22"/>
        </w:rPr>
        <w:t>инвестициялық портфельді басқарушының ішкі құжаттарында көзделген құжаттар.</w:t>
      </w:r>
    </w:p>
    <w:p w14:paraId="6D54D773" w14:textId="77777777" w:rsidR="00CC0F27" w:rsidRDefault="00000000">
      <w:pPr>
        <w:ind w:firstLine="400"/>
        <w:jc w:val="both"/>
        <w:rPr>
          <w:sz w:val="22"/>
          <w:szCs w:val="22"/>
        </w:rPr>
      </w:pPr>
      <w:r>
        <w:rPr>
          <w:rStyle w:val="s0"/>
          <w:sz w:val="22"/>
          <w:szCs w:val="22"/>
        </w:rPr>
        <w:t>3) тармақшада көрсетілген құжаттарды клиент нотариалды куәландырылған қазақ және (немесе) орыс тілдеріндегі аудармасымен ұсынады.</w:t>
      </w:r>
    </w:p>
    <w:p w14:paraId="6ADA37F5" w14:textId="77777777" w:rsidR="00CC0F27" w:rsidRDefault="00000000">
      <w:pPr>
        <w:widowControl/>
        <w:numPr>
          <w:ilvl w:val="0"/>
          <w:numId w:val="2"/>
        </w:numPr>
        <w:autoSpaceDE/>
        <w:autoSpaceDN/>
        <w:adjustRightInd/>
        <w:jc w:val="both"/>
        <w:rPr>
          <w:color w:val="000000"/>
          <w:sz w:val="22"/>
          <w:szCs w:val="22"/>
        </w:rPr>
      </w:pPr>
      <w:bookmarkStart w:id="0" w:name="SUB1200"/>
      <w:bookmarkEnd w:id="0"/>
      <w:r>
        <w:rPr>
          <w:color w:val="000000"/>
          <w:sz w:val="22"/>
          <w:szCs w:val="22"/>
        </w:rPr>
        <w:t>Шарт жасасу мақсатында клиент ұсынған құжаттар басшыда шарт бұзылған күннен бастап бес жыл бойы сақталуы тиіс.</w:t>
      </w:r>
    </w:p>
    <w:p w14:paraId="50A1A278" w14:textId="77777777" w:rsidR="00CC0F27" w:rsidRDefault="00000000">
      <w:pPr>
        <w:widowControl/>
        <w:numPr>
          <w:ilvl w:val="0"/>
          <w:numId w:val="2"/>
        </w:numPr>
        <w:autoSpaceDE/>
        <w:autoSpaceDN/>
        <w:adjustRightInd/>
        <w:jc w:val="both"/>
        <w:rPr>
          <w:color w:val="000000"/>
          <w:sz w:val="22"/>
          <w:szCs w:val="22"/>
        </w:rPr>
      </w:pPr>
      <w:r>
        <w:rPr>
          <w:sz w:val="22"/>
          <w:szCs w:val="22"/>
        </w:rPr>
        <w:t>кастодианмен клиентке инвестициялық шот ашады .</w:t>
      </w:r>
    </w:p>
    <w:p w14:paraId="63E2C828" w14:textId="77777777" w:rsidR="00CC0F27" w:rsidRDefault="00000000">
      <w:pPr>
        <w:widowControl/>
        <w:autoSpaceDE/>
        <w:autoSpaceDN/>
        <w:adjustRightInd/>
        <w:jc w:val="both"/>
        <w:rPr>
          <w:color w:val="000000"/>
          <w:sz w:val="22"/>
          <w:szCs w:val="22"/>
        </w:rPr>
      </w:pPr>
      <w:bookmarkStart w:id="1" w:name="SUB1400"/>
      <w:bookmarkStart w:id="2" w:name="SUB1300"/>
      <w:bookmarkEnd w:id="1"/>
      <w:bookmarkEnd w:id="2"/>
      <w:r>
        <w:rPr>
          <w:sz w:val="22"/>
          <w:szCs w:val="22"/>
        </w:rPr>
        <w:t xml:space="preserve">10. </w:t>
      </w:r>
      <w:r>
        <w:rPr>
          <w:color w:val="000000"/>
          <w:sz w:val="22"/>
          <w:szCs w:val="22"/>
        </w:rPr>
        <w:t>Шарттың қолданылу мерзімі ішінде компания клиентпен келісу бойынша клиентке ақпараттық, аналитикалық және консультациялық қызметтерді көрсетеді. Осы қызметтерді көрсету кезінде компания клиентке келісімге сәйкес жүзеге асырылатын ҚҰ-мен операциялар бойынша кіріс алуға немесе шығынның болмауына кепілдік бермейді.</w:t>
      </w:r>
    </w:p>
    <w:p w14:paraId="0E259C52" w14:textId="77777777" w:rsidR="00CC0F27" w:rsidRDefault="00000000">
      <w:pPr>
        <w:widowControl/>
        <w:autoSpaceDE/>
        <w:autoSpaceDN/>
        <w:adjustRightInd/>
        <w:jc w:val="both"/>
        <w:rPr>
          <w:color w:val="000000"/>
          <w:sz w:val="22"/>
          <w:szCs w:val="22"/>
        </w:rPr>
      </w:pPr>
      <w:r>
        <w:rPr>
          <w:color w:val="000000"/>
          <w:sz w:val="22"/>
          <w:szCs w:val="22"/>
        </w:rPr>
        <w:t>11. Қоғам өз клиенттеріне Қазақстан Республикасының заңнамасына сәйкес қоғаммен шарттық қатынастарға түсу және (немесе) осындай қатынастарды қолдау туралы шешім қабылдау үшін қажетті ақпаратты ашады.</w:t>
      </w:r>
    </w:p>
    <w:p w14:paraId="53EABDF2" w14:textId="77777777" w:rsidR="00CC0F27" w:rsidRDefault="00CC0F27">
      <w:pPr>
        <w:tabs>
          <w:tab w:val="left" w:pos="540"/>
          <w:tab w:val="left" w:pos="1152"/>
        </w:tabs>
        <w:spacing w:after="120"/>
        <w:ind w:left="540" w:hanging="540"/>
        <w:jc w:val="both"/>
        <w:rPr>
          <w:sz w:val="22"/>
          <w:szCs w:val="22"/>
        </w:rPr>
      </w:pPr>
    </w:p>
    <w:p w14:paraId="6F85C3AE" w14:textId="77777777" w:rsidR="00CC0F27" w:rsidRDefault="00000000">
      <w:pPr>
        <w:tabs>
          <w:tab w:val="left" w:pos="720"/>
          <w:tab w:val="left" w:pos="1152"/>
        </w:tabs>
        <w:jc w:val="center"/>
        <w:rPr>
          <w:b/>
          <w:bCs/>
          <w:sz w:val="22"/>
          <w:szCs w:val="22"/>
        </w:rPr>
      </w:pPr>
      <w:r w:rsidRPr="001766D8">
        <w:rPr>
          <w:b/>
          <w:bCs/>
          <w:sz w:val="22"/>
          <w:szCs w:val="22"/>
        </w:rPr>
        <w:t xml:space="preserve">III </w:t>
      </w:r>
      <w:r>
        <w:rPr>
          <w:b/>
          <w:bCs/>
          <w:sz w:val="22"/>
          <w:szCs w:val="22"/>
        </w:rPr>
        <w:t>БӨЛІМ</w:t>
      </w:r>
    </w:p>
    <w:p w14:paraId="79B0D116" w14:textId="77777777" w:rsidR="00CC0F27" w:rsidRDefault="00000000">
      <w:pPr>
        <w:shd w:val="clear" w:color="auto" w:fill="FFFFFF"/>
        <w:tabs>
          <w:tab w:val="left" w:pos="-2880"/>
        </w:tabs>
        <w:jc w:val="center"/>
        <w:rPr>
          <w:b/>
          <w:bCs/>
          <w:sz w:val="22"/>
          <w:szCs w:val="22"/>
        </w:rPr>
      </w:pPr>
      <w:r>
        <w:rPr>
          <w:b/>
          <w:bCs/>
          <w:sz w:val="22"/>
          <w:szCs w:val="22"/>
        </w:rPr>
        <w:t>Инвестициялық портфельді басқару бойынша шешімдерді қабылдау және орындау тәртібі</w:t>
      </w:r>
    </w:p>
    <w:p w14:paraId="0F5221F8" w14:textId="77777777" w:rsidR="00CC0F27" w:rsidRDefault="00CC0F27">
      <w:pPr>
        <w:shd w:val="clear" w:color="auto" w:fill="FFFFFF"/>
        <w:tabs>
          <w:tab w:val="left" w:pos="-2880"/>
        </w:tabs>
        <w:jc w:val="center"/>
        <w:rPr>
          <w:b/>
          <w:bCs/>
          <w:sz w:val="22"/>
          <w:szCs w:val="22"/>
        </w:rPr>
      </w:pPr>
    </w:p>
    <w:p w14:paraId="5CEDED00" w14:textId="77777777" w:rsidR="00CC0F27" w:rsidRDefault="00000000">
      <w:pPr>
        <w:shd w:val="clear" w:color="auto" w:fill="FFFFFF"/>
        <w:tabs>
          <w:tab w:val="left" w:pos="-2880"/>
        </w:tabs>
        <w:spacing w:before="110"/>
        <w:jc w:val="both"/>
        <w:rPr>
          <w:sz w:val="22"/>
          <w:szCs w:val="22"/>
        </w:rPr>
      </w:pPr>
      <w:r>
        <w:rPr>
          <w:sz w:val="22"/>
          <w:szCs w:val="22"/>
        </w:rPr>
        <w:t>1. Клиенттердің активтері бойынша инвестициялық стратегия нормативтік құқықтық актілердің, басқару шартының талаптарының, инвестициялық қордың, пай қоры туралы ережелердің және АХҚО акцияларын шығару проспектісі негізінде әзірленеді. .</w:t>
      </w:r>
    </w:p>
    <w:p w14:paraId="2EAA04E6" w14:textId="77777777" w:rsidR="00CC0F27" w:rsidRDefault="00000000">
      <w:pPr>
        <w:shd w:val="clear" w:color="auto" w:fill="FFFFFF"/>
        <w:tabs>
          <w:tab w:val="left" w:pos="-2880"/>
        </w:tabs>
        <w:spacing w:before="110"/>
        <w:jc w:val="both"/>
        <w:rPr>
          <w:sz w:val="22"/>
          <w:szCs w:val="22"/>
        </w:rPr>
      </w:pPr>
      <w:r>
        <w:rPr>
          <w:sz w:val="22"/>
          <w:szCs w:val="22"/>
        </w:rPr>
        <w:t>2. Жеке куәліктер Қазақстан Республикасының заңнамасына, клиенттің тілектеріне және шектеулеріне сәйкес әзірленеді және күтілетін кіріс нормасының клиент қабылдаған тәуекел деңгейімен арақатынасын қамтиды: тәуекелдің ең үлкен мөлшерін анықтау . Клиент күтілетін кіріс нормасын арттыруды қабылдауға дайын .</w:t>
      </w:r>
    </w:p>
    <w:p w14:paraId="4B8AB49C" w14:textId="77777777" w:rsidR="00CC0F27" w:rsidRDefault="00000000">
      <w:pPr>
        <w:shd w:val="clear" w:color="auto" w:fill="FFFFFF"/>
        <w:tabs>
          <w:tab w:val="left" w:pos="-2880"/>
        </w:tabs>
        <w:spacing w:before="110"/>
        <w:jc w:val="both"/>
        <w:rPr>
          <w:sz w:val="22"/>
          <w:szCs w:val="22"/>
        </w:rPr>
      </w:pPr>
      <w:r>
        <w:rPr>
          <w:sz w:val="22"/>
          <w:szCs w:val="22"/>
        </w:rPr>
        <w:t>3. ИК қабылдауды қоғамның СК жүзеге асырады және оған «Инвестициялық комитет туралы» ережеде белгіленген тәртіппен уәкілетті тұлғалар қол қояды.</w:t>
      </w:r>
    </w:p>
    <w:p w14:paraId="233FA256" w14:textId="77777777" w:rsidR="00CC0F27" w:rsidRDefault="00000000">
      <w:pPr>
        <w:shd w:val="clear" w:color="auto" w:fill="FFFFFF"/>
        <w:tabs>
          <w:tab w:val="left" w:pos="-2880"/>
        </w:tabs>
        <w:spacing w:before="110"/>
        <w:jc w:val="both"/>
        <w:rPr>
          <w:sz w:val="22"/>
          <w:szCs w:val="22"/>
        </w:rPr>
      </w:pPr>
      <w:r>
        <w:rPr>
          <w:sz w:val="22"/>
          <w:szCs w:val="22"/>
        </w:rPr>
        <w:t>4. IR ҚБ қатысты активтерді басқару бөлімі берген ұсынымдар негізінде қабылданады.</w:t>
      </w:r>
    </w:p>
    <w:p w14:paraId="5B4372AA" w14:textId="77777777" w:rsidR="00CC0F27" w:rsidRDefault="00000000">
      <w:pPr>
        <w:shd w:val="clear" w:color="auto" w:fill="FFFFFF"/>
        <w:tabs>
          <w:tab w:val="left" w:pos="-2880"/>
        </w:tabs>
        <w:spacing w:before="115"/>
        <w:jc w:val="both"/>
        <w:rPr>
          <w:sz w:val="22"/>
          <w:szCs w:val="22"/>
        </w:rPr>
      </w:pPr>
      <w:r>
        <w:rPr>
          <w:sz w:val="22"/>
          <w:szCs w:val="22"/>
        </w:rPr>
        <w:t>5. Ұсынымдар Қазақстан Республикасы заңнамасының және ЖҰМ талаптарына сәйкес жасалады .</w:t>
      </w:r>
    </w:p>
    <w:p w14:paraId="4592D127" w14:textId="77777777" w:rsidR="00CC0F27" w:rsidRDefault="00000000">
      <w:pPr>
        <w:shd w:val="clear" w:color="auto" w:fill="FFFFFF"/>
        <w:tabs>
          <w:tab w:val="left" w:pos="-2880"/>
        </w:tabs>
        <w:ind w:left="540" w:hanging="540"/>
        <w:jc w:val="center"/>
        <w:rPr>
          <w:b/>
          <w:bCs/>
          <w:sz w:val="22"/>
          <w:szCs w:val="22"/>
        </w:rPr>
      </w:pPr>
      <w:r>
        <w:rPr>
          <w:bCs/>
          <w:sz w:val="22"/>
          <w:szCs w:val="22"/>
        </w:rPr>
        <w:tab/>
      </w:r>
    </w:p>
    <w:p w14:paraId="2C6EA680" w14:textId="77777777" w:rsidR="00CC0F27" w:rsidRDefault="00000000">
      <w:pPr>
        <w:widowControl/>
        <w:autoSpaceDE/>
        <w:autoSpaceDN/>
        <w:adjustRightInd/>
        <w:jc w:val="center"/>
        <w:rPr>
          <w:b/>
          <w:bCs/>
          <w:color w:val="000000"/>
          <w:sz w:val="22"/>
          <w:szCs w:val="22"/>
        </w:rPr>
      </w:pPr>
      <w:bookmarkStart w:id="3" w:name="SUB2500"/>
      <w:bookmarkEnd w:id="3"/>
      <w:r w:rsidRPr="001766D8">
        <w:rPr>
          <w:b/>
          <w:bCs/>
          <w:color w:val="000000"/>
          <w:sz w:val="22"/>
          <w:szCs w:val="22"/>
        </w:rPr>
        <w:t xml:space="preserve">IV </w:t>
      </w:r>
      <w:r>
        <w:rPr>
          <w:b/>
          <w:bCs/>
          <w:color w:val="000000"/>
          <w:sz w:val="22"/>
          <w:szCs w:val="22"/>
        </w:rPr>
        <w:t xml:space="preserve">БӨЛІМ  </w:t>
      </w:r>
    </w:p>
    <w:p w14:paraId="2BF65478" w14:textId="77777777" w:rsidR="00CC0F27" w:rsidRDefault="00000000">
      <w:pPr>
        <w:widowControl/>
        <w:autoSpaceDE/>
        <w:autoSpaceDN/>
        <w:adjustRightInd/>
        <w:jc w:val="center"/>
        <w:rPr>
          <w:color w:val="000000"/>
          <w:sz w:val="22"/>
          <w:szCs w:val="22"/>
        </w:rPr>
      </w:pPr>
      <w:r>
        <w:rPr>
          <w:b/>
          <w:bCs/>
          <w:color w:val="000000"/>
          <w:sz w:val="22"/>
          <w:szCs w:val="22"/>
        </w:rPr>
        <w:t>Инвестициялық портфельді басқару қызметін жүзеге асыру шарттары</w:t>
      </w:r>
    </w:p>
    <w:p w14:paraId="24133C83" w14:textId="77777777" w:rsidR="00CC0F27" w:rsidRDefault="00CC0F27">
      <w:pPr>
        <w:widowControl/>
        <w:autoSpaceDE/>
        <w:autoSpaceDN/>
        <w:adjustRightInd/>
        <w:ind w:firstLine="400"/>
        <w:jc w:val="both"/>
        <w:rPr>
          <w:color w:val="000000"/>
          <w:sz w:val="22"/>
          <w:szCs w:val="22"/>
        </w:rPr>
      </w:pPr>
    </w:p>
    <w:p w14:paraId="11053AEB" w14:textId="77777777" w:rsidR="00CC0F27" w:rsidRDefault="00000000">
      <w:pPr>
        <w:widowControl/>
        <w:autoSpaceDE/>
        <w:autoSpaceDN/>
        <w:adjustRightInd/>
        <w:ind w:left="360" w:hanging="360"/>
        <w:jc w:val="both"/>
        <w:rPr>
          <w:color w:val="000000"/>
          <w:sz w:val="22"/>
          <w:szCs w:val="22"/>
        </w:rPr>
      </w:pPr>
      <w:bookmarkStart w:id="4" w:name="SUB1700"/>
      <w:bookmarkStart w:id="5" w:name="SUB1600"/>
      <w:bookmarkStart w:id="6" w:name="SUB1500"/>
      <w:bookmarkEnd w:id="4"/>
      <w:bookmarkEnd w:id="5"/>
      <w:bookmarkEnd w:id="6"/>
      <w:r>
        <w:rPr>
          <w:sz w:val="22"/>
          <w:szCs w:val="22"/>
        </w:rPr>
        <w:t xml:space="preserve">1. </w:t>
      </w:r>
      <w:r>
        <w:rPr>
          <w:color w:val="000000"/>
          <w:sz w:val="22"/>
          <w:szCs w:val="22"/>
        </w:rPr>
        <w:t>Компания клиенттің бірінші өтініші бойынша оған қарауға ұсынады:</w:t>
      </w:r>
    </w:p>
    <w:p w14:paraId="10B20E3C" w14:textId="77777777" w:rsidR="00CC0F27" w:rsidRPr="001766D8" w:rsidRDefault="00000000">
      <w:pPr>
        <w:pStyle w:val="af"/>
        <w:numPr>
          <w:ilvl w:val="0"/>
          <w:numId w:val="3"/>
        </w:numPr>
        <w:ind w:hanging="320"/>
        <w:jc w:val="both"/>
        <w:rPr>
          <w:sz w:val="22"/>
          <w:szCs w:val="22"/>
        </w:rPr>
      </w:pPr>
      <w:r w:rsidRPr="001766D8">
        <w:rPr>
          <w:sz w:val="22"/>
          <w:szCs w:val="22"/>
        </w:rPr>
        <w:t>сіздің соңғы есептік кезеңдегі қаржылық есеп беруіңіз;</w:t>
      </w:r>
    </w:p>
    <w:p w14:paraId="19D8C481" w14:textId="77777777" w:rsidR="00CC0F27" w:rsidRPr="001766D8" w:rsidRDefault="00000000">
      <w:pPr>
        <w:pStyle w:val="af"/>
        <w:numPr>
          <w:ilvl w:val="0"/>
          <w:numId w:val="3"/>
        </w:numPr>
        <w:jc w:val="both"/>
        <w:rPr>
          <w:sz w:val="22"/>
          <w:szCs w:val="22"/>
        </w:rPr>
      </w:pPr>
      <w:r w:rsidRPr="001766D8">
        <w:rPr>
          <w:sz w:val="22"/>
          <w:szCs w:val="22"/>
        </w:rPr>
        <w:t>басшының пруденциалдық нормативтерді сақтау деңгейі туралы ақпарат;</w:t>
      </w:r>
    </w:p>
    <w:p w14:paraId="2BF73EE3" w14:textId="77777777" w:rsidR="00CC0F27" w:rsidRPr="001766D8" w:rsidRDefault="00000000">
      <w:pPr>
        <w:pStyle w:val="af"/>
        <w:numPr>
          <w:ilvl w:val="0"/>
          <w:numId w:val="3"/>
        </w:numPr>
        <w:jc w:val="both"/>
        <w:rPr>
          <w:sz w:val="22"/>
          <w:szCs w:val="22"/>
        </w:rPr>
      </w:pPr>
      <w:r w:rsidRPr="001766D8">
        <w:rPr>
          <w:sz w:val="22"/>
          <w:szCs w:val="22"/>
        </w:rPr>
        <w:t>соңғы он екі ай ішінде уәкілетті органның қоғамға қолданған қадағалау шаралары, санкциялар, әкімшілік жазалар және басқа да ықпал ету шаралары туралы мәліметтер. Әкімшілік жазаға тарту үшін серіктестікке немесе оның лауазымды тұлғаларына әкімшілік жаза қолдану туралы ақпарат беріледі;</w:t>
      </w:r>
    </w:p>
    <w:p w14:paraId="473462E1" w14:textId="77777777" w:rsidR="00CC0F27" w:rsidRPr="001766D8" w:rsidRDefault="00000000">
      <w:pPr>
        <w:pStyle w:val="af"/>
        <w:numPr>
          <w:ilvl w:val="0"/>
          <w:numId w:val="3"/>
        </w:numPr>
        <w:ind w:left="708" w:hanging="308"/>
        <w:jc w:val="both"/>
        <w:rPr>
          <w:sz w:val="22"/>
          <w:szCs w:val="22"/>
        </w:rPr>
      </w:pPr>
      <w:r w:rsidRPr="001766D8">
        <w:rPr>
          <w:sz w:val="22"/>
          <w:szCs w:val="22"/>
        </w:rPr>
        <w:t>кәсіптік ұйымның компанияға немесе оның қызметкерлеріне қатысты соңғы он екі ай ішінде қабылдаған шешімдері;</w:t>
      </w:r>
    </w:p>
    <w:p w14:paraId="3FC23877" w14:textId="77777777" w:rsidR="00CC0F27" w:rsidRPr="001766D8" w:rsidRDefault="00000000">
      <w:pPr>
        <w:pStyle w:val="af"/>
        <w:numPr>
          <w:ilvl w:val="0"/>
          <w:numId w:val="3"/>
        </w:numPr>
        <w:ind w:left="708" w:hanging="308"/>
        <w:jc w:val="both"/>
        <w:rPr>
          <w:sz w:val="22"/>
          <w:szCs w:val="22"/>
        </w:rPr>
      </w:pPr>
      <w:r w:rsidRPr="001766D8">
        <w:rPr>
          <w:sz w:val="22"/>
          <w:szCs w:val="22"/>
        </w:rPr>
        <w:lastRenderedPageBreak/>
        <w:t>инвестициялық портфельді басқару қызметін реттейтін нормативтік құқықтық актілер, IRR.</w:t>
      </w:r>
    </w:p>
    <w:p w14:paraId="18FD0832" w14:textId="77777777" w:rsidR="00CC0F27" w:rsidRDefault="00000000">
      <w:pPr>
        <w:widowControl/>
        <w:autoSpaceDE/>
        <w:autoSpaceDN/>
        <w:adjustRightInd/>
        <w:jc w:val="both"/>
        <w:rPr>
          <w:color w:val="000000"/>
          <w:sz w:val="22"/>
          <w:szCs w:val="22"/>
        </w:rPr>
      </w:pPr>
      <w:bookmarkStart w:id="7" w:name="SUB1800"/>
      <w:bookmarkEnd w:id="7"/>
      <w:r>
        <w:rPr>
          <w:sz w:val="22"/>
          <w:szCs w:val="22"/>
        </w:rPr>
        <w:t xml:space="preserve">2. Компанияның клиентке жоғарыда көрсетілген құжаттардың көшірмелерін беруден бас тартуына жол берілмейді. </w:t>
      </w:r>
      <w:r>
        <w:rPr>
          <w:color w:val="000000"/>
          <w:sz w:val="22"/>
          <w:szCs w:val="22"/>
        </w:rPr>
        <w:t>Клиентке құжаттардың көшірмелерін бергені үшін компания оларды өндіру құнынан аспайтын мөлшерде ақы алуға құқылы.</w:t>
      </w:r>
    </w:p>
    <w:p w14:paraId="3E302D45" w14:textId="77777777" w:rsidR="00CC0F27" w:rsidRDefault="00000000">
      <w:pPr>
        <w:widowControl/>
        <w:autoSpaceDE/>
        <w:autoSpaceDN/>
        <w:adjustRightInd/>
        <w:jc w:val="both"/>
        <w:rPr>
          <w:color w:val="000000"/>
          <w:sz w:val="22"/>
          <w:szCs w:val="22"/>
        </w:rPr>
      </w:pPr>
      <w:bookmarkStart w:id="8" w:name="SUB1900"/>
      <w:bookmarkEnd w:id="8"/>
      <w:r>
        <w:rPr>
          <w:sz w:val="22"/>
          <w:szCs w:val="22"/>
        </w:rPr>
        <w:t xml:space="preserve">3. </w:t>
      </w:r>
      <w:r>
        <w:rPr>
          <w:color w:val="000000"/>
          <w:sz w:val="22"/>
          <w:szCs w:val="22"/>
        </w:rPr>
        <w:t>Кәсіпорын шарт жасасу және орындау процесінде Қазақстан Республикасының заңдарында белгіленген жағдайларды қоспағанда, өз клиенті туралы ақпараттың, сондай-ақ клиенттен алынған ақпараттың құпиялылығын сақтайды.</w:t>
      </w:r>
    </w:p>
    <w:p w14:paraId="5945985E" w14:textId="77777777" w:rsidR="00CC0F27" w:rsidRDefault="00000000">
      <w:pPr>
        <w:widowControl/>
        <w:autoSpaceDE/>
        <w:autoSpaceDN/>
        <w:adjustRightInd/>
        <w:ind w:left="360" w:hanging="360"/>
        <w:jc w:val="both"/>
        <w:rPr>
          <w:color w:val="000000"/>
          <w:sz w:val="22"/>
          <w:szCs w:val="22"/>
        </w:rPr>
      </w:pPr>
      <w:bookmarkStart w:id="9" w:name="SUB2000"/>
      <w:bookmarkEnd w:id="9"/>
      <w:r>
        <w:rPr>
          <w:sz w:val="22"/>
          <w:szCs w:val="22"/>
        </w:rPr>
        <w:t xml:space="preserve">4. </w:t>
      </w:r>
      <w:r>
        <w:rPr>
          <w:color w:val="000000"/>
          <w:sz w:val="22"/>
          <w:szCs w:val="22"/>
        </w:rPr>
        <w:t>Шарттың қолданылу мерзімі ішінде компания клиентті мыналар туралы хабарлайды:</w:t>
      </w:r>
    </w:p>
    <w:p w14:paraId="5DF321FE" w14:textId="77777777" w:rsidR="00CC0F27" w:rsidRDefault="00000000">
      <w:pPr>
        <w:widowControl/>
        <w:numPr>
          <w:ilvl w:val="0"/>
          <w:numId w:val="4"/>
        </w:numPr>
        <w:tabs>
          <w:tab w:val="clear" w:pos="1630"/>
          <w:tab w:val="left" w:pos="567"/>
        </w:tabs>
        <w:autoSpaceDE/>
        <w:autoSpaceDN/>
        <w:adjustRightInd/>
        <w:ind w:left="0" w:firstLine="400"/>
        <w:jc w:val="both"/>
        <w:rPr>
          <w:color w:val="000000"/>
          <w:sz w:val="22"/>
          <w:szCs w:val="22"/>
        </w:rPr>
      </w:pPr>
      <w:r>
        <w:rPr>
          <w:color w:val="000000"/>
          <w:sz w:val="22"/>
          <w:szCs w:val="22"/>
        </w:rPr>
        <w:t>оның қаржылық жағдайының нашарлауының және пруденциалдық нормативтердің бұзылуының фактілері мен себептері;</w:t>
      </w:r>
    </w:p>
    <w:p w14:paraId="536BF0ED" w14:textId="77777777" w:rsidR="00CC0F27" w:rsidRDefault="00000000">
      <w:pPr>
        <w:widowControl/>
        <w:numPr>
          <w:ilvl w:val="0"/>
          <w:numId w:val="4"/>
        </w:numPr>
        <w:tabs>
          <w:tab w:val="clear" w:pos="1630"/>
          <w:tab w:val="left" w:pos="567"/>
        </w:tabs>
        <w:autoSpaceDE/>
        <w:autoSpaceDN/>
        <w:adjustRightInd/>
        <w:ind w:left="0" w:firstLine="400"/>
        <w:jc w:val="both"/>
        <w:rPr>
          <w:color w:val="000000"/>
          <w:sz w:val="22"/>
          <w:szCs w:val="22"/>
        </w:rPr>
      </w:pPr>
      <w:r>
        <w:rPr>
          <w:color w:val="000000"/>
          <w:sz w:val="22"/>
          <w:szCs w:val="22"/>
        </w:rPr>
        <w:t>инвестициялық портфельді басқарушының есепке алу жүйесінде қамтылған клиенттің активтері туралы ақпарат пен инвестициялық портфельді басқарушыға берілген клиенттің активтерін есепке алуды жүзеге асыратын кастодианның немесе номиналды ұстаушының мәліметтері арасындағы сәйкессіздік және мұндай сәйкессіздіктің себептері;</w:t>
      </w:r>
    </w:p>
    <w:p w14:paraId="6F06A443" w14:textId="77777777" w:rsidR="00CC0F27" w:rsidRDefault="00000000">
      <w:pPr>
        <w:ind w:firstLine="400"/>
        <w:jc w:val="both"/>
        <w:rPr>
          <w:sz w:val="22"/>
          <w:szCs w:val="22"/>
        </w:rPr>
      </w:pPr>
      <w:bookmarkStart w:id="10" w:name="SUB2100"/>
      <w:bookmarkEnd w:id="10"/>
      <w:r>
        <w:rPr>
          <w:rStyle w:val="s0"/>
          <w:sz w:val="22"/>
          <w:szCs w:val="22"/>
        </w:rPr>
        <w:t>3) уәкiлеттi органның қоғамға соңғы он екi айда қолданған қадағалау шаралары, санкциялар, әкiмшiлiк жазалар және өзге де ықпал ету шаралары. Әкімшілік жазаға тарту үшін серіктестікке немесе оның лауазымды тұлғаларына әкімшілік жаза қолдану туралы ақпарат беріледі;</w:t>
      </w:r>
    </w:p>
    <w:p w14:paraId="6CD89B51" w14:textId="77777777" w:rsidR="00CC0F27" w:rsidRDefault="00000000">
      <w:pPr>
        <w:ind w:firstLine="400"/>
        <w:jc w:val="both"/>
        <w:rPr>
          <w:sz w:val="22"/>
          <w:szCs w:val="22"/>
        </w:rPr>
      </w:pPr>
      <w:r>
        <w:rPr>
          <w:rStyle w:val="s0"/>
          <w:sz w:val="22"/>
          <w:szCs w:val="22"/>
        </w:rPr>
        <w:t>4) кәсіптік ұйым қолданатын ықпал ету шаралары;</w:t>
      </w:r>
    </w:p>
    <w:p w14:paraId="4CCB71BA" w14:textId="77777777" w:rsidR="00CC0F27" w:rsidRDefault="00000000">
      <w:pPr>
        <w:ind w:firstLine="400"/>
        <w:jc w:val="both"/>
        <w:rPr>
          <w:color w:val="000000"/>
          <w:sz w:val="22"/>
          <w:szCs w:val="22"/>
        </w:rPr>
      </w:pPr>
      <w:r>
        <w:rPr>
          <w:rStyle w:val="s0"/>
          <w:sz w:val="22"/>
          <w:szCs w:val="22"/>
        </w:rPr>
        <w:t>5) мүдделер қақтығысының мүмкіндіктері мен фактілері.</w:t>
      </w:r>
    </w:p>
    <w:p w14:paraId="33D6DDCA" w14:textId="77777777" w:rsidR="00CC0F27" w:rsidRDefault="00000000">
      <w:pPr>
        <w:widowControl/>
        <w:autoSpaceDE/>
        <w:autoSpaceDN/>
        <w:adjustRightInd/>
        <w:jc w:val="both"/>
        <w:rPr>
          <w:color w:val="000000"/>
          <w:sz w:val="22"/>
          <w:szCs w:val="22"/>
        </w:rPr>
      </w:pPr>
      <w:bookmarkStart w:id="11" w:name="SUB2700"/>
      <w:bookmarkStart w:id="12" w:name="SUB3100"/>
      <w:bookmarkStart w:id="13" w:name="SUB3300"/>
      <w:bookmarkEnd w:id="11"/>
      <w:bookmarkEnd w:id="12"/>
      <w:bookmarkEnd w:id="13"/>
      <w:r>
        <w:rPr>
          <w:sz w:val="22"/>
          <w:szCs w:val="22"/>
        </w:rPr>
        <w:t xml:space="preserve">5. </w:t>
      </w:r>
      <w:r>
        <w:rPr>
          <w:color w:val="000000"/>
          <w:sz w:val="22"/>
          <w:szCs w:val="22"/>
        </w:rPr>
        <w:t xml:space="preserve">Қоғам </w:t>
      </w:r>
      <w:r>
        <w:rPr>
          <w:rStyle w:val="s0"/>
          <w:sz w:val="22"/>
          <w:szCs w:val="22"/>
        </w:rPr>
        <w:t xml:space="preserve">мәмілелер жасасу туралы шешім қабылдамайды және мынадай мәмілелер жасамайды </w:t>
      </w:r>
      <w:r>
        <w:rPr>
          <w:color w:val="000000"/>
          <w:sz w:val="22"/>
          <w:szCs w:val="22"/>
        </w:rPr>
        <w:t>:</w:t>
      </w:r>
    </w:p>
    <w:p w14:paraId="55075377" w14:textId="77777777" w:rsidR="00CC0F27" w:rsidRDefault="00000000">
      <w:pPr>
        <w:widowControl/>
        <w:autoSpaceDE/>
        <w:autoSpaceDN/>
        <w:adjustRightInd/>
        <w:ind w:firstLine="284"/>
        <w:jc w:val="both"/>
        <w:rPr>
          <w:color w:val="000000"/>
          <w:sz w:val="22"/>
          <w:szCs w:val="22"/>
        </w:rPr>
      </w:pPr>
      <w:r>
        <w:rPr>
          <w:color w:val="000000"/>
          <w:sz w:val="22"/>
          <w:szCs w:val="22"/>
        </w:rPr>
        <w:t>1) клиенттің инвестициялық басқаруға берілген активтері есебінен қаржы активтерін және серіктестікке тиесілі өзге де мүлікті сатып алу үшін;</w:t>
      </w:r>
    </w:p>
    <w:p w14:paraId="1519E835" w14:textId="77777777" w:rsidR="00CC0F27" w:rsidRDefault="00000000">
      <w:pPr>
        <w:widowControl/>
        <w:autoSpaceDE/>
        <w:autoSpaceDN/>
        <w:adjustRightInd/>
        <w:ind w:firstLine="284"/>
        <w:jc w:val="both"/>
        <w:rPr>
          <w:color w:val="000000"/>
          <w:sz w:val="22"/>
          <w:szCs w:val="22"/>
        </w:rPr>
      </w:pPr>
      <w:r>
        <w:rPr>
          <w:color w:val="000000"/>
          <w:sz w:val="22"/>
          <w:szCs w:val="22"/>
        </w:rPr>
        <w:t>2) клиенттің мүлкін өз меншігіне шығаруға;</w:t>
      </w:r>
    </w:p>
    <w:p w14:paraId="1DEDE2EB" w14:textId="77777777" w:rsidR="00CC0F27" w:rsidRDefault="00000000">
      <w:pPr>
        <w:widowControl/>
        <w:autoSpaceDE/>
        <w:autoSpaceDN/>
        <w:adjustRightInd/>
        <w:ind w:firstLine="284"/>
        <w:jc w:val="both"/>
        <w:rPr>
          <w:color w:val="000000"/>
          <w:sz w:val="22"/>
          <w:szCs w:val="22"/>
        </w:rPr>
      </w:pPr>
      <w:r>
        <w:rPr>
          <w:color w:val="000000"/>
          <w:sz w:val="22"/>
          <w:szCs w:val="22"/>
        </w:rPr>
        <w:t>3) қор биржасында ашық сауда-саттық арқылы жасалған мәмілелерді қоспағанда, қоғам бір мезгілде өз клиентінің және оның клиенті болып табылмайтын үшінші тұлғаның мүдделерін білдіретін;</w:t>
      </w:r>
    </w:p>
    <w:p w14:paraId="4A27048C" w14:textId="77777777" w:rsidR="00CC0F27" w:rsidRDefault="00000000">
      <w:pPr>
        <w:widowControl/>
        <w:autoSpaceDE/>
        <w:autoSpaceDN/>
        <w:adjustRightInd/>
        <w:ind w:firstLine="284"/>
        <w:jc w:val="both"/>
        <w:rPr>
          <w:color w:val="000000"/>
          <w:sz w:val="22"/>
          <w:szCs w:val="22"/>
        </w:rPr>
      </w:pPr>
      <w:r>
        <w:rPr>
          <w:color w:val="000000"/>
          <w:sz w:val="22"/>
          <w:szCs w:val="22"/>
        </w:rPr>
        <w:t>4) клиенттің активтері есебінен компания және (немесе) осы қоғамның инвестициялық басқаруындағы Орталық банк шығарған инвестициялық қорларды сатып алу үшін;</w:t>
      </w:r>
    </w:p>
    <w:p w14:paraId="55E64B05" w14:textId="77777777" w:rsidR="00CC0F27" w:rsidRDefault="00000000">
      <w:pPr>
        <w:widowControl/>
        <w:autoSpaceDE/>
        <w:autoSpaceDN/>
        <w:adjustRightInd/>
        <w:ind w:firstLine="284"/>
        <w:jc w:val="both"/>
        <w:rPr>
          <w:color w:val="000000"/>
          <w:sz w:val="22"/>
          <w:szCs w:val="22"/>
        </w:rPr>
      </w:pPr>
      <w:r>
        <w:rPr>
          <w:color w:val="000000"/>
          <w:sz w:val="22"/>
          <w:szCs w:val="22"/>
        </w:rPr>
        <w:t>5) Орталық Банк клиентiнiң активтерi есебiнен тарату процесiндегi эмитенттердi сатып алу туралы;</w:t>
      </w:r>
    </w:p>
    <w:p w14:paraId="7ED8E8B0" w14:textId="77777777" w:rsidR="00CC0F27" w:rsidRDefault="00000000">
      <w:pPr>
        <w:widowControl/>
        <w:autoSpaceDE/>
        <w:autoSpaceDN/>
        <w:adjustRightInd/>
        <w:ind w:firstLine="284"/>
        <w:jc w:val="both"/>
        <w:rPr>
          <w:color w:val="000000"/>
          <w:sz w:val="22"/>
          <w:szCs w:val="22"/>
        </w:rPr>
      </w:pPr>
      <w:r>
        <w:rPr>
          <w:color w:val="000000"/>
          <w:sz w:val="22"/>
          <w:szCs w:val="22"/>
        </w:rPr>
        <w:t>6) эмитент міндеттемелерді қайта құрылымдау мақсатында шығарылған бағалы қағаздарды және эмитенттің осы эмитенттің бағалы қағаздарына айырбастауын және өзге де міндеттемелерін қоспағанда, клиенттің активтері есебінен бағалы қағаздарды эмитент орындамаған күннен бастап сатып алу эмитенттің), эмитенттің бағалы қағаздарын қор биржасының ресми тізімінің «буферлік санат» санатына ауыстыру, Орталық банк деректерімен қор биржасы саудасын тоқтату;</w:t>
      </w:r>
    </w:p>
    <w:p w14:paraId="62639B07" w14:textId="77777777" w:rsidR="00CC0F27" w:rsidRDefault="00000000">
      <w:pPr>
        <w:widowControl/>
        <w:autoSpaceDE/>
        <w:autoSpaceDN/>
        <w:adjustRightInd/>
        <w:ind w:firstLine="284"/>
        <w:jc w:val="both"/>
        <w:rPr>
          <w:color w:val="000000"/>
          <w:sz w:val="22"/>
          <w:szCs w:val="22"/>
        </w:rPr>
      </w:pPr>
      <w:r>
        <w:rPr>
          <w:color w:val="000000"/>
          <w:sz w:val="22"/>
          <w:szCs w:val="22"/>
        </w:rPr>
        <w:t>7) клиенттің инвестициялық басқаруға қабылданған активтеріне қатысты мәміле жасау кезінде төлемді күнтізбелік отыз күннен астам мерзімге кейінге қалдыруды немесе бөліп төлеуді көздейтін;</w:t>
      </w:r>
    </w:p>
    <w:p w14:paraId="223F3562" w14:textId="77777777" w:rsidR="00CC0F27" w:rsidRDefault="00000000">
      <w:pPr>
        <w:widowControl/>
        <w:autoSpaceDE/>
        <w:autoSpaceDN/>
        <w:adjustRightInd/>
        <w:ind w:firstLine="284"/>
        <w:jc w:val="both"/>
        <w:rPr>
          <w:color w:val="000000"/>
          <w:sz w:val="22"/>
          <w:szCs w:val="22"/>
        </w:rPr>
      </w:pPr>
      <w:r>
        <w:rPr>
          <w:color w:val="000000"/>
          <w:sz w:val="22"/>
          <w:szCs w:val="22"/>
        </w:rPr>
        <w:t>8) инвестициялық басқаруға қабылданған клиент активтерін өз міндеттемелерін немесе осы клиенттің инвестициялық портфелін басқару қызметіне байланысты емес үшінші тұлғалардың міндеттемелерін орындауды қамтамасыз ету үшін пайдалануды көздейтін;</w:t>
      </w:r>
    </w:p>
    <w:p w14:paraId="6DEFC245" w14:textId="77777777" w:rsidR="00CC0F27" w:rsidRDefault="00000000">
      <w:pPr>
        <w:widowControl/>
        <w:autoSpaceDE/>
        <w:autoSpaceDN/>
        <w:adjustRightInd/>
        <w:ind w:firstLine="284"/>
        <w:jc w:val="both"/>
        <w:rPr>
          <w:color w:val="000000"/>
          <w:sz w:val="22"/>
          <w:szCs w:val="22"/>
        </w:rPr>
      </w:pPr>
      <w:r>
        <w:rPr>
          <w:color w:val="000000"/>
          <w:sz w:val="22"/>
          <w:szCs w:val="22"/>
        </w:rPr>
        <w:t>9) клиенттің мүлкін өтеусіз иеліктен шығарғаны үшін;</w:t>
      </w:r>
    </w:p>
    <w:p w14:paraId="21FCD0D2" w14:textId="77777777" w:rsidR="00CC0F27" w:rsidRDefault="00000000">
      <w:pPr>
        <w:widowControl/>
        <w:autoSpaceDE/>
        <w:autoSpaceDN/>
        <w:adjustRightInd/>
        <w:ind w:firstLine="284"/>
        <w:jc w:val="both"/>
        <w:rPr>
          <w:color w:val="000000"/>
          <w:sz w:val="22"/>
          <w:szCs w:val="22"/>
        </w:rPr>
      </w:pPr>
      <w:r>
        <w:rPr>
          <w:color w:val="000000"/>
          <w:sz w:val="22"/>
          <w:szCs w:val="22"/>
        </w:rPr>
        <w:t>10) клиент активтерi есебiнен клиентке тиесiлi емес қаржы құралдарын сату туралы шарттарды («қысқа сауда») жасаған кезде;</w:t>
      </w:r>
    </w:p>
    <w:p w14:paraId="7AE3D696" w14:textId="77777777" w:rsidR="00CC0F27" w:rsidRDefault="00000000">
      <w:pPr>
        <w:widowControl/>
        <w:autoSpaceDE/>
        <w:autoSpaceDN/>
        <w:adjustRightInd/>
        <w:ind w:firstLine="284"/>
        <w:jc w:val="both"/>
        <w:rPr>
          <w:color w:val="000000"/>
          <w:sz w:val="22"/>
          <w:szCs w:val="22"/>
        </w:rPr>
      </w:pPr>
      <w:r>
        <w:rPr>
          <w:color w:val="000000"/>
          <w:sz w:val="22"/>
          <w:szCs w:val="22"/>
        </w:rPr>
        <w:t>11) қор биржасының сауда жүйесінде жасалған мәмілелерді қоспағанда, инвестициялық қор болып табылмайтын клиент активтерінің бір бөлігі ретінде инвестициялық қордың осы компанияның инвестициялық басқаруындағы активтерін сатып алу үшін; ашық сауда әдістерін қолдану;</w:t>
      </w:r>
    </w:p>
    <w:p w14:paraId="11AC3194" w14:textId="77777777" w:rsidR="00CC0F27" w:rsidRDefault="00000000">
      <w:pPr>
        <w:widowControl/>
        <w:autoSpaceDE/>
        <w:autoSpaceDN/>
        <w:adjustRightInd/>
        <w:ind w:firstLine="284"/>
        <w:jc w:val="both"/>
        <w:rPr>
          <w:color w:val="000000"/>
          <w:sz w:val="22"/>
          <w:szCs w:val="22"/>
        </w:rPr>
      </w:pPr>
      <w:r>
        <w:rPr>
          <w:color w:val="000000"/>
          <w:sz w:val="22"/>
          <w:szCs w:val="22"/>
        </w:rPr>
        <w:t>12) осының салдарынан Қазақстан Республикасының заңнамасында және (немесе) клиенттің жеке куәлігінде белгіленген талаптар бұзылса.</w:t>
      </w:r>
    </w:p>
    <w:p w14:paraId="15F6C2A0" w14:textId="77777777" w:rsidR="00CC0F27" w:rsidRDefault="00000000">
      <w:pPr>
        <w:widowControl/>
        <w:autoSpaceDE/>
        <w:autoSpaceDN/>
        <w:adjustRightInd/>
        <w:jc w:val="both"/>
        <w:rPr>
          <w:color w:val="000000"/>
          <w:sz w:val="22"/>
          <w:szCs w:val="22"/>
        </w:rPr>
      </w:pPr>
      <w:r>
        <w:rPr>
          <w:sz w:val="22"/>
          <w:szCs w:val="22"/>
        </w:rPr>
        <w:t xml:space="preserve">6. </w:t>
      </w:r>
      <w:r>
        <w:rPr>
          <w:color w:val="000000"/>
          <w:sz w:val="22"/>
          <w:szCs w:val="22"/>
        </w:rPr>
        <w:t>Егер компанияға байланысты емес мән-жайлар нәтижесінде клиенттің инвестициялық портфелінің құрылымы Қазақстан Республикасының қаржы заңнамасында және (немесе) клиенттің жеке куәлігінде белгіленген шарттарға сәйкес келуін тоқтатса, қоғам дереу мұндай сәйкессіздікті күшейтетін қызметті тоқтатады және бір жұмыс күні ішінде уәкілетті органға және клиентке осы сәйкессіздіктің фактісі мен себептері туралы оны жою жөніндегі іс-шаралар жоспарымен қоса хабарлайды.</w:t>
      </w:r>
    </w:p>
    <w:p w14:paraId="36952F05" w14:textId="77777777" w:rsidR="00CC0F27" w:rsidRDefault="00000000">
      <w:pPr>
        <w:widowControl/>
        <w:autoSpaceDE/>
        <w:autoSpaceDN/>
        <w:adjustRightInd/>
        <w:jc w:val="both"/>
        <w:rPr>
          <w:color w:val="000000"/>
          <w:sz w:val="22"/>
          <w:szCs w:val="22"/>
        </w:rPr>
      </w:pPr>
      <w:r>
        <w:rPr>
          <w:sz w:val="22"/>
          <w:szCs w:val="22"/>
        </w:rPr>
        <w:t xml:space="preserve">7. Қоғам уәкілетті </w:t>
      </w:r>
      <w:r>
        <w:rPr>
          <w:color w:val="000000"/>
          <w:sz w:val="22"/>
          <w:szCs w:val="22"/>
        </w:rPr>
        <w:t xml:space="preserve">органмен келісілген іс-шаралар жоспарында белгіленген мерзімдерде не клиенттің инвестициялық портфелінің құрылымын Қазақстан Республикасы заңнамасының талаптарына және </w:t>
      </w:r>
      <w:r>
        <w:rPr>
          <w:color w:val="000000"/>
          <w:sz w:val="22"/>
          <w:szCs w:val="22"/>
        </w:rPr>
        <w:lastRenderedPageBreak/>
        <w:t>(немесе) клиенттің жеке басын куәландыратын құжатқа сәйкес келтіреді. осы іс-шаралар жоспарын қарау нәтижелері бойынша уәкілетті орган белгілеген мерзімдер.</w:t>
      </w:r>
    </w:p>
    <w:p w14:paraId="1439A3D1" w14:textId="77777777" w:rsidR="00CC0F27" w:rsidRDefault="00000000">
      <w:pPr>
        <w:widowControl/>
        <w:autoSpaceDE/>
        <w:autoSpaceDN/>
        <w:adjustRightInd/>
        <w:jc w:val="both"/>
        <w:rPr>
          <w:color w:val="000000"/>
          <w:sz w:val="22"/>
          <w:szCs w:val="22"/>
        </w:rPr>
      </w:pPr>
      <w:bookmarkStart w:id="14" w:name="SUB3200"/>
      <w:bookmarkEnd w:id="14"/>
      <w:r>
        <w:rPr>
          <w:sz w:val="22"/>
          <w:szCs w:val="22"/>
        </w:rPr>
        <w:t xml:space="preserve">8. </w:t>
      </w:r>
      <w:r>
        <w:rPr>
          <w:color w:val="000000"/>
          <w:sz w:val="22"/>
          <w:szCs w:val="22"/>
        </w:rPr>
        <w:t>Қоғам бағалы қағаздар нарығында брокерлік және (немесе) дилерлік қызметті жүзеге асыруға қолданыстағы лицензияның болуына байланысты IR-ды дербес жүзеге асырады.</w:t>
      </w:r>
      <w:bookmarkStart w:id="15" w:name="SUB3500"/>
      <w:bookmarkStart w:id="16" w:name="SUB3400"/>
      <w:bookmarkEnd w:id="15"/>
      <w:bookmarkEnd w:id="16"/>
    </w:p>
    <w:p w14:paraId="024E49F8" w14:textId="77777777" w:rsidR="00CC0F27" w:rsidRDefault="00000000">
      <w:pPr>
        <w:widowControl/>
        <w:autoSpaceDE/>
        <w:autoSpaceDN/>
        <w:adjustRightInd/>
        <w:jc w:val="both"/>
        <w:rPr>
          <w:color w:val="000000"/>
          <w:sz w:val="22"/>
          <w:szCs w:val="22"/>
        </w:rPr>
      </w:pPr>
      <w:r>
        <w:rPr>
          <w:sz w:val="22"/>
          <w:szCs w:val="22"/>
        </w:rPr>
        <w:t xml:space="preserve">9. </w:t>
      </w:r>
      <w:r>
        <w:rPr>
          <w:color w:val="000000"/>
          <w:sz w:val="22"/>
          <w:szCs w:val="22"/>
        </w:rPr>
        <w:t>Лицензияның қолданылуы тоқтатыла тұрған немесе одан айырылған жағдайда серіктестік уәкілетті органнан тиісті хабарламаны алған күннен бастап екі жұмыс күні ішінде бұл туралы:</w:t>
      </w:r>
    </w:p>
    <w:p w14:paraId="107855AF" w14:textId="77777777" w:rsidR="00CC0F27" w:rsidRDefault="00000000">
      <w:pPr>
        <w:widowControl/>
        <w:tabs>
          <w:tab w:val="left" w:pos="720"/>
          <w:tab w:val="left" w:pos="1080"/>
        </w:tabs>
        <w:autoSpaceDE/>
        <w:autoSpaceDN/>
        <w:adjustRightInd/>
        <w:ind w:leftChars="109" w:left="603" w:hangingChars="175" w:hanging="385"/>
        <w:jc w:val="both"/>
        <w:rPr>
          <w:color w:val="000000"/>
          <w:sz w:val="22"/>
          <w:szCs w:val="22"/>
        </w:rPr>
      </w:pPr>
      <w:r>
        <w:rPr>
          <w:color w:val="000000"/>
          <w:sz w:val="22"/>
          <w:szCs w:val="22"/>
        </w:rPr>
        <w:t>1) клиенттерге қолжетімді орындарда (бас офис пен филиалдардың үй-жайларында, сондай-ақ компанияның корпоративтік интернет-ресурсында (корпоративтік интернет-ресурс болған жағдайда) жеке хабарламалар жіберу және тиісті хабарландыруларды орналастыру арқылы өз клиенттеріне. ғаламтор);</w:t>
      </w:r>
    </w:p>
    <w:p w14:paraId="737BE2F4" w14:textId="77777777" w:rsidR="00CC0F27" w:rsidRDefault="00000000">
      <w:pPr>
        <w:widowControl/>
        <w:tabs>
          <w:tab w:val="left" w:pos="720"/>
          <w:tab w:val="left" w:pos="1080"/>
        </w:tabs>
        <w:autoSpaceDE/>
        <w:autoSpaceDN/>
        <w:adjustRightInd/>
        <w:ind w:firstLineChars="100" w:firstLine="220"/>
        <w:jc w:val="both"/>
        <w:rPr>
          <w:color w:val="000000"/>
          <w:sz w:val="22"/>
          <w:szCs w:val="22"/>
        </w:rPr>
      </w:pPr>
      <w:r>
        <w:rPr>
          <w:color w:val="000000"/>
          <w:sz w:val="22"/>
          <w:szCs w:val="22"/>
        </w:rPr>
        <w:t>2) компанияның клиенттеріне шот ашқан номиналды ұстаушылар мен кастодиандар .</w:t>
      </w:r>
    </w:p>
    <w:p w14:paraId="72BEAD50" w14:textId="77777777" w:rsidR="00CC0F27" w:rsidRDefault="00000000">
      <w:pPr>
        <w:widowControl/>
        <w:autoSpaceDE/>
        <w:autoSpaceDN/>
        <w:adjustRightInd/>
        <w:jc w:val="both"/>
        <w:rPr>
          <w:color w:val="000000"/>
          <w:sz w:val="22"/>
          <w:szCs w:val="22"/>
        </w:rPr>
      </w:pPr>
      <w:bookmarkStart w:id="17" w:name="SUB5300"/>
      <w:bookmarkEnd w:id="17"/>
      <w:r>
        <w:rPr>
          <w:sz w:val="22"/>
          <w:szCs w:val="22"/>
        </w:rPr>
        <w:t xml:space="preserve">10. </w:t>
      </w:r>
      <w:r>
        <w:rPr>
          <w:rStyle w:val="s0"/>
          <w:sz w:val="22"/>
          <w:szCs w:val="22"/>
        </w:rPr>
        <w:t xml:space="preserve">Лицензиядан </w:t>
      </w:r>
      <w:r>
        <w:rPr>
          <w:color w:val="000000"/>
          <w:sz w:val="22"/>
          <w:szCs w:val="22"/>
        </w:rPr>
        <w:t>айырған жағдайда серіктестік клиенттің бұйрығы негізінде уәкілетті органнан хабарлама алған күннен бастап күнтізбелік 30 күн ішінде активтерді клиентке қайтарады немесе жасалған шарт болған жағдайда, лицензиядан айырған жағдайда, уәкілетті органнан хабарламаны алған күннен бастап күнтізбелік 30 күн ішінде клиентке қайтарады. жаңа басқарушыға активтер.</w:t>
      </w:r>
    </w:p>
    <w:p w14:paraId="180BCDE0" w14:textId="77777777" w:rsidR="00CC0F27" w:rsidRPr="001766D8" w:rsidRDefault="00000000">
      <w:pPr>
        <w:pStyle w:val="af"/>
        <w:numPr>
          <w:ilvl w:val="0"/>
          <w:numId w:val="5"/>
        </w:numPr>
        <w:ind w:left="0" w:firstLine="0"/>
        <w:jc w:val="both"/>
        <w:rPr>
          <w:rStyle w:val="s0"/>
          <w:sz w:val="22"/>
          <w:szCs w:val="22"/>
        </w:rPr>
      </w:pPr>
      <w:r w:rsidRPr="001766D8">
        <w:rPr>
          <w:sz w:val="22"/>
          <w:szCs w:val="22"/>
        </w:rPr>
        <w:t>Тұтынушылардың барлық шағымдары мен шағымдары тиісті журналда міндетті түрде тіркелуге жатады. Клиенттің шағымын қарау ол келіп түскен күннен басталады</w:t>
      </w:r>
      <w:r>
        <w:rPr>
          <w:sz w:val="22"/>
          <w:szCs w:val="22"/>
        </w:rPr>
        <w:t> </w:t>
      </w:r>
      <w:r w:rsidRPr="001766D8">
        <w:rPr>
          <w:sz w:val="22"/>
          <w:szCs w:val="22"/>
        </w:rPr>
        <w:t>басқарма төрағасы тағайындайтын жауапты басшы. Клиенттің талаптары қанағаттандырылған жағдайда, шағымды қарау процесі клиенттен талап қою үшін қосымша негіздердің жойылуына байланысты тоқтатылады.</w:t>
      </w:r>
    </w:p>
    <w:p w14:paraId="17E5CEF0" w14:textId="77777777" w:rsidR="00CC0F27" w:rsidRDefault="00CC0F27">
      <w:pPr>
        <w:rPr>
          <w:sz w:val="22"/>
          <w:szCs w:val="22"/>
        </w:rPr>
      </w:pPr>
    </w:p>
    <w:sectPr w:rsidR="00CC0F27">
      <w:footerReference w:type="even" r:id="rId8"/>
      <w:footerReference w:type="default" r:id="rId9"/>
      <w:pgSz w:w="12240" w:h="15840"/>
      <w:pgMar w:top="1440" w:right="590" w:bottom="720" w:left="1486" w:header="720" w:footer="720" w:gutter="0"/>
      <w:cols w:space="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0C10" w14:textId="77777777" w:rsidR="00E15459" w:rsidRDefault="00E15459">
      <w:r>
        <w:separator/>
      </w:r>
    </w:p>
  </w:endnote>
  <w:endnote w:type="continuationSeparator" w:id="0">
    <w:p w14:paraId="277BF488" w14:textId="77777777" w:rsidR="00E15459" w:rsidRDefault="00E1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9F8E" w14:textId="77777777" w:rsidR="00CC0F27" w:rsidRDefault="00000000">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6FE5A" w14:textId="77777777" w:rsidR="00CC0F27" w:rsidRDefault="00CC0F2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5D7F" w14:textId="77777777" w:rsidR="00CC0F27" w:rsidRDefault="00000000">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6</w:t>
    </w:r>
    <w:r>
      <w:rPr>
        <w:rStyle w:val="a5"/>
      </w:rPr>
      <w:fldChar w:fldCharType="end"/>
    </w:r>
  </w:p>
  <w:p w14:paraId="7C66A9C6" w14:textId="77777777" w:rsidR="00CC0F27" w:rsidRDefault="00CC0F2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12EC" w14:textId="77777777" w:rsidR="00E15459" w:rsidRDefault="00E15459">
      <w:r>
        <w:separator/>
      </w:r>
    </w:p>
  </w:footnote>
  <w:footnote w:type="continuationSeparator" w:id="0">
    <w:p w14:paraId="7FD028C4" w14:textId="77777777" w:rsidR="00E15459" w:rsidRDefault="00E15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B09FAF"/>
    <w:multiLevelType w:val="singleLevel"/>
    <w:tmpl w:val="CAB09FAF"/>
    <w:lvl w:ilvl="0">
      <w:start w:val="8"/>
      <w:numFmt w:val="decimal"/>
      <w:suff w:val="space"/>
      <w:lvlText w:val="%1."/>
      <w:lvlJc w:val="left"/>
    </w:lvl>
  </w:abstractNum>
  <w:abstractNum w:abstractNumId="1" w15:restartNumberingAfterBreak="0">
    <w:nsid w:val="180F31A2"/>
    <w:multiLevelType w:val="multilevel"/>
    <w:tmpl w:val="180F3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7453F"/>
    <w:multiLevelType w:val="multilevel"/>
    <w:tmpl w:val="3D27453F"/>
    <w:lvl w:ilvl="0">
      <w:start w:val="1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1101DE"/>
    <w:multiLevelType w:val="multilevel"/>
    <w:tmpl w:val="781101DE"/>
    <w:lvl w:ilvl="0">
      <w:start w:val="1"/>
      <w:numFmt w:val="decimal"/>
      <w:lvlText w:val="%1)"/>
      <w:lvlJc w:val="left"/>
      <w:pPr>
        <w:tabs>
          <w:tab w:val="left" w:pos="1630"/>
        </w:tabs>
        <w:ind w:left="1630" w:hanging="870"/>
      </w:pPr>
      <w:rPr>
        <w:rFonts w:hint="default"/>
      </w:rPr>
    </w:lvl>
    <w:lvl w:ilvl="1">
      <w:start w:val="1"/>
      <w:numFmt w:val="bullet"/>
      <w:lvlText w:val="o"/>
      <w:lvlJc w:val="left"/>
      <w:pPr>
        <w:tabs>
          <w:tab w:val="left" w:pos="1840"/>
        </w:tabs>
        <w:ind w:left="1840" w:hanging="360"/>
      </w:pPr>
      <w:rPr>
        <w:rFonts w:ascii="Courier New" w:hAnsi="Courier New" w:cs="Courier New" w:hint="default"/>
      </w:rPr>
    </w:lvl>
    <w:lvl w:ilvl="2">
      <w:start w:val="1"/>
      <w:numFmt w:val="bullet"/>
      <w:lvlText w:val=""/>
      <w:lvlJc w:val="left"/>
      <w:pPr>
        <w:tabs>
          <w:tab w:val="left" w:pos="2560"/>
        </w:tabs>
        <w:ind w:left="2560" w:hanging="360"/>
      </w:pPr>
      <w:rPr>
        <w:rFonts w:ascii="Wingdings" w:hAnsi="Wingdings" w:hint="default"/>
      </w:rPr>
    </w:lvl>
    <w:lvl w:ilvl="3">
      <w:start w:val="1"/>
      <w:numFmt w:val="bullet"/>
      <w:lvlText w:val=""/>
      <w:lvlJc w:val="left"/>
      <w:pPr>
        <w:tabs>
          <w:tab w:val="left" w:pos="3280"/>
        </w:tabs>
        <w:ind w:left="3280" w:hanging="360"/>
      </w:pPr>
      <w:rPr>
        <w:rFonts w:ascii="Symbol" w:hAnsi="Symbol" w:hint="default"/>
      </w:rPr>
    </w:lvl>
    <w:lvl w:ilvl="4">
      <w:start w:val="1"/>
      <w:numFmt w:val="bullet"/>
      <w:lvlText w:val="o"/>
      <w:lvlJc w:val="left"/>
      <w:pPr>
        <w:tabs>
          <w:tab w:val="left" w:pos="4000"/>
        </w:tabs>
        <w:ind w:left="4000" w:hanging="360"/>
      </w:pPr>
      <w:rPr>
        <w:rFonts w:ascii="Courier New" w:hAnsi="Courier New" w:cs="Courier New" w:hint="default"/>
      </w:rPr>
    </w:lvl>
    <w:lvl w:ilvl="5">
      <w:start w:val="1"/>
      <w:numFmt w:val="bullet"/>
      <w:lvlText w:val=""/>
      <w:lvlJc w:val="left"/>
      <w:pPr>
        <w:tabs>
          <w:tab w:val="left" w:pos="4720"/>
        </w:tabs>
        <w:ind w:left="4720" w:hanging="360"/>
      </w:pPr>
      <w:rPr>
        <w:rFonts w:ascii="Wingdings" w:hAnsi="Wingdings" w:hint="default"/>
      </w:rPr>
    </w:lvl>
    <w:lvl w:ilvl="6">
      <w:start w:val="1"/>
      <w:numFmt w:val="bullet"/>
      <w:lvlText w:val=""/>
      <w:lvlJc w:val="left"/>
      <w:pPr>
        <w:tabs>
          <w:tab w:val="left" w:pos="5440"/>
        </w:tabs>
        <w:ind w:left="5440" w:hanging="360"/>
      </w:pPr>
      <w:rPr>
        <w:rFonts w:ascii="Symbol" w:hAnsi="Symbol" w:hint="default"/>
      </w:rPr>
    </w:lvl>
    <w:lvl w:ilvl="7">
      <w:start w:val="1"/>
      <w:numFmt w:val="bullet"/>
      <w:lvlText w:val="o"/>
      <w:lvlJc w:val="left"/>
      <w:pPr>
        <w:tabs>
          <w:tab w:val="left" w:pos="6160"/>
        </w:tabs>
        <w:ind w:left="6160" w:hanging="360"/>
      </w:pPr>
      <w:rPr>
        <w:rFonts w:ascii="Courier New" w:hAnsi="Courier New" w:cs="Courier New" w:hint="default"/>
      </w:rPr>
    </w:lvl>
    <w:lvl w:ilvl="8">
      <w:start w:val="1"/>
      <w:numFmt w:val="bullet"/>
      <w:lvlText w:val=""/>
      <w:lvlJc w:val="left"/>
      <w:pPr>
        <w:tabs>
          <w:tab w:val="left" w:pos="6880"/>
        </w:tabs>
        <w:ind w:left="6880" w:hanging="360"/>
      </w:pPr>
      <w:rPr>
        <w:rFonts w:ascii="Wingdings" w:hAnsi="Wingdings" w:hint="default"/>
      </w:rPr>
    </w:lvl>
  </w:abstractNum>
  <w:abstractNum w:abstractNumId="4" w15:restartNumberingAfterBreak="0">
    <w:nsid w:val="7912FD9F"/>
    <w:multiLevelType w:val="singleLevel"/>
    <w:tmpl w:val="7912FD9F"/>
    <w:lvl w:ilvl="0">
      <w:start w:val="1"/>
      <w:numFmt w:val="decimal"/>
      <w:suff w:val="space"/>
      <w:lvlText w:val="%1."/>
      <w:lvlJc w:val="left"/>
    </w:lvl>
  </w:abstractNum>
  <w:num w:numId="1" w16cid:durableId="396905766">
    <w:abstractNumId w:val="4"/>
  </w:num>
  <w:num w:numId="2" w16cid:durableId="998578666">
    <w:abstractNumId w:val="0"/>
  </w:num>
  <w:num w:numId="3" w16cid:durableId="1080105258">
    <w:abstractNumId w:val="1"/>
  </w:num>
  <w:num w:numId="4" w16cid:durableId="1598828647">
    <w:abstractNumId w:val="3"/>
  </w:num>
  <w:num w:numId="5" w16cid:durableId="106197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CF"/>
    <w:rsid w:val="000165C6"/>
    <w:rsid w:val="0002068F"/>
    <w:rsid w:val="000249BF"/>
    <w:rsid w:val="00030034"/>
    <w:rsid w:val="00055222"/>
    <w:rsid w:val="000633BB"/>
    <w:rsid w:val="000650AF"/>
    <w:rsid w:val="000863FA"/>
    <w:rsid w:val="00090623"/>
    <w:rsid w:val="000B0B4C"/>
    <w:rsid w:val="000B34E3"/>
    <w:rsid w:val="000E0C3C"/>
    <w:rsid w:val="000E0FFF"/>
    <w:rsid w:val="000E1167"/>
    <w:rsid w:val="000E58A4"/>
    <w:rsid w:val="000E7D86"/>
    <w:rsid w:val="001155F8"/>
    <w:rsid w:val="001168D1"/>
    <w:rsid w:val="001223BC"/>
    <w:rsid w:val="0013117A"/>
    <w:rsid w:val="00136F7C"/>
    <w:rsid w:val="001378B2"/>
    <w:rsid w:val="00154396"/>
    <w:rsid w:val="001766D8"/>
    <w:rsid w:val="00191D99"/>
    <w:rsid w:val="00192C18"/>
    <w:rsid w:val="001C3165"/>
    <w:rsid w:val="001C4B1F"/>
    <w:rsid w:val="001D42C3"/>
    <w:rsid w:val="001F2719"/>
    <w:rsid w:val="002032B9"/>
    <w:rsid w:val="00211E8C"/>
    <w:rsid w:val="00225E9C"/>
    <w:rsid w:val="00230303"/>
    <w:rsid w:val="002313DA"/>
    <w:rsid w:val="00276FF0"/>
    <w:rsid w:val="002854DC"/>
    <w:rsid w:val="00286BAD"/>
    <w:rsid w:val="002A43FD"/>
    <w:rsid w:val="002A519A"/>
    <w:rsid w:val="002B576D"/>
    <w:rsid w:val="002B6ED4"/>
    <w:rsid w:val="002B6F1E"/>
    <w:rsid w:val="002C28C6"/>
    <w:rsid w:val="002D1AFE"/>
    <w:rsid w:val="002D1FE6"/>
    <w:rsid w:val="002D366C"/>
    <w:rsid w:val="002D664F"/>
    <w:rsid w:val="002D7EED"/>
    <w:rsid w:val="002F0A55"/>
    <w:rsid w:val="002F4393"/>
    <w:rsid w:val="003116BC"/>
    <w:rsid w:val="0032289F"/>
    <w:rsid w:val="00341C78"/>
    <w:rsid w:val="00351665"/>
    <w:rsid w:val="00351C2F"/>
    <w:rsid w:val="0035398E"/>
    <w:rsid w:val="00361CB1"/>
    <w:rsid w:val="0036248D"/>
    <w:rsid w:val="003635EF"/>
    <w:rsid w:val="00373789"/>
    <w:rsid w:val="003748BD"/>
    <w:rsid w:val="00385DCE"/>
    <w:rsid w:val="00392661"/>
    <w:rsid w:val="003A2337"/>
    <w:rsid w:val="003C3826"/>
    <w:rsid w:val="003C6FB3"/>
    <w:rsid w:val="003D62C5"/>
    <w:rsid w:val="00410ADD"/>
    <w:rsid w:val="004160E9"/>
    <w:rsid w:val="004164CC"/>
    <w:rsid w:val="00435550"/>
    <w:rsid w:val="00436715"/>
    <w:rsid w:val="00443D7B"/>
    <w:rsid w:val="00444EAD"/>
    <w:rsid w:val="00445BC3"/>
    <w:rsid w:val="004474D4"/>
    <w:rsid w:val="00450FAC"/>
    <w:rsid w:val="0045239F"/>
    <w:rsid w:val="00456B5B"/>
    <w:rsid w:val="0046676A"/>
    <w:rsid w:val="00467D61"/>
    <w:rsid w:val="00470630"/>
    <w:rsid w:val="00475C26"/>
    <w:rsid w:val="00476945"/>
    <w:rsid w:val="00484D61"/>
    <w:rsid w:val="00490F92"/>
    <w:rsid w:val="00497271"/>
    <w:rsid w:val="004A3F56"/>
    <w:rsid w:val="004C2976"/>
    <w:rsid w:val="004D21DD"/>
    <w:rsid w:val="004D5212"/>
    <w:rsid w:val="004F0C17"/>
    <w:rsid w:val="004F2047"/>
    <w:rsid w:val="0051559A"/>
    <w:rsid w:val="00516B81"/>
    <w:rsid w:val="00522A6F"/>
    <w:rsid w:val="00525654"/>
    <w:rsid w:val="00547E55"/>
    <w:rsid w:val="005620E1"/>
    <w:rsid w:val="005A041B"/>
    <w:rsid w:val="005A46DC"/>
    <w:rsid w:val="005B6280"/>
    <w:rsid w:val="005E51CF"/>
    <w:rsid w:val="005F304A"/>
    <w:rsid w:val="00621894"/>
    <w:rsid w:val="006275F8"/>
    <w:rsid w:val="006302D7"/>
    <w:rsid w:val="00635C44"/>
    <w:rsid w:val="006540C2"/>
    <w:rsid w:val="00654D31"/>
    <w:rsid w:val="00663A27"/>
    <w:rsid w:val="00692630"/>
    <w:rsid w:val="00695FD5"/>
    <w:rsid w:val="006D4664"/>
    <w:rsid w:val="006E7B83"/>
    <w:rsid w:val="006F22C4"/>
    <w:rsid w:val="007104D0"/>
    <w:rsid w:val="0071691E"/>
    <w:rsid w:val="0073092F"/>
    <w:rsid w:val="00740B01"/>
    <w:rsid w:val="00744372"/>
    <w:rsid w:val="00747FEB"/>
    <w:rsid w:val="00753E5C"/>
    <w:rsid w:val="00756FB0"/>
    <w:rsid w:val="007639CB"/>
    <w:rsid w:val="007672D7"/>
    <w:rsid w:val="00793678"/>
    <w:rsid w:val="00797489"/>
    <w:rsid w:val="007A5D8E"/>
    <w:rsid w:val="007B2177"/>
    <w:rsid w:val="007B74AA"/>
    <w:rsid w:val="007D28FC"/>
    <w:rsid w:val="007D642B"/>
    <w:rsid w:val="007D6E02"/>
    <w:rsid w:val="007E641D"/>
    <w:rsid w:val="007F110C"/>
    <w:rsid w:val="007F6098"/>
    <w:rsid w:val="0080664A"/>
    <w:rsid w:val="00811C41"/>
    <w:rsid w:val="00864DAD"/>
    <w:rsid w:val="00892FA6"/>
    <w:rsid w:val="008A058B"/>
    <w:rsid w:val="008B67CB"/>
    <w:rsid w:val="008C14EB"/>
    <w:rsid w:val="008C295B"/>
    <w:rsid w:val="008C7969"/>
    <w:rsid w:val="008E3C89"/>
    <w:rsid w:val="008F4E47"/>
    <w:rsid w:val="008F78C2"/>
    <w:rsid w:val="00900E07"/>
    <w:rsid w:val="00914929"/>
    <w:rsid w:val="00915329"/>
    <w:rsid w:val="00917E4E"/>
    <w:rsid w:val="00924451"/>
    <w:rsid w:val="00927728"/>
    <w:rsid w:val="00957930"/>
    <w:rsid w:val="00985EB9"/>
    <w:rsid w:val="009A4A9A"/>
    <w:rsid w:val="009B0EEC"/>
    <w:rsid w:val="009C05AE"/>
    <w:rsid w:val="009C66FA"/>
    <w:rsid w:val="009C6FC5"/>
    <w:rsid w:val="009D2529"/>
    <w:rsid w:val="009D358A"/>
    <w:rsid w:val="009E0A72"/>
    <w:rsid w:val="009E2378"/>
    <w:rsid w:val="009E4C6F"/>
    <w:rsid w:val="00A070C1"/>
    <w:rsid w:val="00A105EE"/>
    <w:rsid w:val="00A17CB0"/>
    <w:rsid w:val="00A241B3"/>
    <w:rsid w:val="00A24E70"/>
    <w:rsid w:val="00A3347C"/>
    <w:rsid w:val="00A34274"/>
    <w:rsid w:val="00A45A54"/>
    <w:rsid w:val="00A65A36"/>
    <w:rsid w:val="00A70672"/>
    <w:rsid w:val="00A80318"/>
    <w:rsid w:val="00A87E3D"/>
    <w:rsid w:val="00A94135"/>
    <w:rsid w:val="00AA443D"/>
    <w:rsid w:val="00AC3363"/>
    <w:rsid w:val="00AF3FF5"/>
    <w:rsid w:val="00AF49C1"/>
    <w:rsid w:val="00B11B65"/>
    <w:rsid w:val="00B12711"/>
    <w:rsid w:val="00B278D0"/>
    <w:rsid w:val="00B37EA8"/>
    <w:rsid w:val="00B41679"/>
    <w:rsid w:val="00B42F4B"/>
    <w:rsid w:val="00B43F9D"/>
    <w:rsid w:val="00B475D9"/>
    <w:rsid w:val="00B52EBE"/>
    <w:rsid w:val="00B704AB"/>
    <w:rsid w:val="00B83F32"/>
    <w:rsid w:val="00BB4CBD"/>
    <w:rsid w:val="00BC2B62"/>
    <w:rsid w:val="00BD13ED"/>
    <w:rsid w:val="00BF27C5"/>
    <w:rsid w:val="00BF4D4F"/>
    <w:rsid w:val="00C27F99"/>
    <w:rsid w:val="00C31BF6"/>
    <w:rsid w:val="00C34A7D"/>
    <w:rsid w:val="00C72A30"/>
    <w:rsid w:val="00CA1401"/>
    <w:rsid w:val="00CA6E8C"/>
    <w:rsid w:val="00CB5053"/>
    <w:rsid w:val="00CB6E7B"/>
    <w:rsid w:val="00CC0F27"/>
    <w:rsid w:val="00CC3B97"/>
    <w:rsid w:val="00CE2F56"/>
    <w:rsid w:val="00CF2059"/>
    <w:rsid w:val="00CF3ADB"/>
    <w:rsid w:val="00D00ECF"/>
    <w:rsid w:val="00D114E7"/>
    <w:rsid w:val="00D15363"/>
    <w:rsid w:val="00D15394"/>
    <w:rsid w:val="00D23E46"/>
    <w:rsid w:val="00D246C2"/>
    <w:rsid w:val="00D32C05"/>
    <w:rsid w:val="00D35D93"/>
    <w:rsid w:val="00D439C2"/>
    <w:rsid w:val="00D443C7"/>
    <w:rsid w:val="00D65A6A"/>
    <w:rsid w:val="00D67B9A"/>
    <w:rsid w:val="00D8559A"/>
    <w:rsid w:val="00D9344A"/>
    <w:rsid w:val="00DB5A0B"/>
    <w:rsid w:val="00DD3D77"/>
    <w:rsid w:val="00DD48E7"/>
    <w:rsid w:val="00DD7AFB"/>
    <w:rsid w:val="00DF0638"/>
    <w:rsid w:val="00DF72B7"/>
    <w:rsid w:val="00DF7692"/>
    <w:rsid w:val="00E0232D"/>
    <w:rsid w:val="00E15459"/>
    <w:rsid w:val="00E328E3"/>
    <w:rsid w:val="00E43142"/>
    <w:rsid w:val="00E5407B"/>
    <w:rsid w:val="00E77E88"/>
    <w:rsid w:val="00E80BE4"/>
    <w:rsid w:val="00E84736"/>
    <w:rsid w:val="00E8541B"/>
    <w:rsid w:val="00E957DE"/>
    <w:rsid w:val="00EA52AF"/>
    <w:rsid w:val="00EB72E9"/>
    <w:rsid w:val="00EC465E"/>
    <w:rsid w:val="00EC7E75"/>
    <w:rsid w:val="00EE574E"/>
    <w:rsid w:val="00F0092B"/>
    <w:rsid w:val="00F02A62"/>
    <w:rsid w:val="00F0527D"/>
    <w:rsid w:val="00F36501"/>
    <w:rsid w:val="00F55438"/>
    <w:rsid w:val="00F57904"/>
    <w:rsid w:val="00FA2A5B"/>
    <w:rsid w:val="00FA3C8C"/>
    <w:rsid w:val="00FB0271"/>
    <w:rsid w:val="00FC386F"/>
    <w:rsid w:val="00FE4EBB"/>
    <w:rsid w:val="092466AD"/>
    <w:rsid w:val="0F4D4E78"/>
    <w:rsid w:val="25320C10"/>
    <w:rsid w:val="26CA4C51"/>
    <w:rsid w:val="43DA4C87"/>
    <w:rsid w:val="47A206AE"/>
    <w:rsid w:val="4888217C"/>
    <w:rsid w:val="7BAB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FD8AD"/>
  <w15:docId w15:val="{7E1D9175-E52B-4928-A86A-F19194C4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k"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widowControl/>
      <w:autoSpaceDE/>
      <w:autoSpaceDN/>
      <w:adjustRightInd/>
      <w:jc w:val="center"/>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6"/>
      <w:szCs w:val="16"/>
    </w:rPr>
  </w:style>
  <w:style w:type="character" w:styleId="a4">
    <w:name w:val="Hyperlink"/>
    <w:basedOn w:val="a0"/>
    <w:qFormat/>
    <w:rPr>
      <w:rFonts w:ascii="Times New Roman" w:hAnsi="Times New Roman" w:cs="Times New Roman" w:hint="default"/>
      <w:color w:val="333399"/>
      <w:u w:val="single"/>
    </w:rPr>
  </w:style>
  <w:style w:type="character" w:styleId="a5">
    <w:name w:val="page number"/>
    <w:basedOn w:val="a0"/>
    <w:qFormat/>
  </w:style>
  <w:style w:type="paragraph" w:styleId="a6">
    <w:name w:val="Balloon Text"/>
    <w:basedOn w:val="a"/>
    <w:semiHidden/>
    <w:qFormat/>
    <w:rPr>
      <w:rFonts w:ascii="Tahoma" w:hAnsi="Tahoma" w:cs="Tahoma"/>
      <w:sz w:val="16"/>
      <w:szCs w:val="16"/>
    </w:rPr>
  </w:style>
  <w:style w:type="paragraph" w:styleId="2">
    <w:name w:val="Body Text 2"/>
    <w:basedOn w:val="a"/>
    <w:qFormat/>
    <w:pPr>
      <w:spacing w:after="120" w:line="480" w:lineRule="auto"/>
    </w:pPr>
  </w:style>
  <w:style w:type="paragraph" w:styleId="a7">
    <w:name w:val="annotation text"/>
    <w:basedOn w:val="a"/>
    <w:link w:val="a8"/>
    <w:qFormat/>
  </w:style>
  <w:style w:type="paragraph" w:styleId="a9">
    <w:name w:val="annotation subject"/>
    <w:basedOn w:val="a7"/>
    <w:next w:val="a7"/>
    <w:link w:val="aa"/>
    <w:qFormat/>
    <w:rPr>
      <w:b/>
      <w:bCs/>
    </w:rPr>
  </w:style>
  <w:style w:type="paragraph" w:styleId="ab">
    <w:name w:val="Body Text"/>
    <w:basedOn w:val="a"/>
    <w:qFormat/>
    <w:pPr>
      <w:widowControl/>
      <w:autoSpaceDE/>
      <w:autoSpaceDN/>
      <w:adjustRightInd/>
      <w:jc w:val="both"/>
    </w:pPr>
    <w:rPr>
      <w:rFonts w:ascii="Garamond" w:hAnsi="Garamond"/>
      <w:snapToGrid w:val="0"/>
      <w:color w:val="000000"/>
      <w:sz w:val="24"/>
    </w:rPr>
  </w:style>
  <w:style w:type="paragraph" w:styleId="ac">
    <w:name w:val="Title"/>
    <w:basedOn w:val="a"/>
    <w:qFormat/>
    <w:pPr>
      <w:widowControl/>
      <w:autoSpaceDE/>
      <w:autoSpaceDN/>
      <w:adjustRightInd/>
      <w:jc w:val="center"/>
    </w:pPr>
    <w:rPr>
      <w:b/>
      <w:sz w:val="24"/>
    </w:rPr>
  </w:style>
  <w:style w:type="paragraph" w:styleId="ad">
    <w:name w:val="footer"/>
    <w:basedOn w:val="a"/>
    <w:qFormat/>
    <w:pPr>
      <w:tabs>
        <w:tab w:val="center" w:pos="4677"/>
        <w:tab w:val="right" w:pos="9355"/>
      </w:tabs>
    </w:pPr>
  </w:style>
  <w:style w:type="paragraph" w:styleId="3">
    <w:name w:val="Body Text 3"/>
    <w:basedOn w:val="a"/>
    <w:qFormat/>
    <w:pPr>
      <w:spacing w:after="120"/>
    </w:pPr>
    <w:rPr>
      <w:sz w:val="16"/>
      <w:szCs w:val="16"/>
    </w:rPr>
  </w:style>
  <w:style w:type="table" w:styleId="ae">
    <w:name w:val="Table Grid"/>
    <w:basedOn w:val="a1"/>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qFormat/>
    <w:rPr>
      <w:rFonts w:ascii="Times New Roman" w:hAnsi="Times New Roman" w:cs="Times New Roman" w:hint="default"/>
      <w:color w:val="000000"/>
      <w:sz w:val="20"/>
      <w:szCs w:val="20"/>
      <w:u w:val="none"/>
    </w:rPr>
  </w:style>
  <w:style w:type="character" w:customStyle="1" w:styleId="s1">
    <w:name w:val="s1"/>
    <w:basedOn w:val="a0"/>
    <w:qFormat/>
    <w:rPr>
      <w:rFonts w:ascii="Times New Roman" w:hAnsi="Times New Roman" w:cs="Times New Roman" w:hint="default"/>
      <w:b/>
      <w:bCs/>
      <w:color w:val="000000"/>
      <w:sz w:val="20"/>
      <w:szCs w:val="20"/>
      <w:u w:val="none"/>
    </w:rPr>
  </w:style>
  <w:style w:type="paragraph" w:styleId="af">
    <w:name w:val="List Paragraph"/>
    <w:basedOn w:val="a"/>
    <w:uiPriority w:val="34"/>
    <w:qFormat/>
    <w:pPr>
      <w:widowControl/>
      <w:autoSpaceDE/>
      <w:autoSpaceDN/>
      <w:adjustRightInd/>
      <w:ind w:left="720"/>
      <w:contextualSpacing/>
    </w:pPr>
    <w:rPr>
      <w:color w:val="000000"/>
      <w:sz w:val="24"/>
      <w:szCs w:val="24"/>
      <w:lang w:eastAsia="en-US"/>
    </w:rPr>
  </w:style>
  <w:style w:type="paragraph" w:styleId="af0">
    <w:name w:val="No Spacing"/>
    <w:uiPriority w:val="1"/>
    <w:qFormat/>
    <w:pPr>
      <w:widowControl w:val="0"/>
      <w:autoSpaceDE w:val="0"/>
      <w:autoSpaceDN w:val="0"/>
      <w:adjustRightInd w:val="0"/>
    </w:pPr>
  </w:style>
  <w:style w:type="character" w:customStyle="1" w:styleId="a8">
    <w:name w:val="Текст примечания Знак"/>
    <w:basedOn w:val="a0"/>
    <w:link w:val="a7"/>
    <w:qFormat/>
    <w:rPr>
      <w:lang w:val="kk" w:eastAsia="ru-RU"/>
    </w:rPr>
  </w:style>
  <w:style w:type="character" w:customStyle="1" w:styleId="aa">
    <w:name w:val="Тема примечания Знак"/>
    <w:basedOn w:val="a8"/>
    <w:link w:val="a9"/>
    <w:qFormat/>
    <w:rPr>
      <w:b/>
      <w:bCs/>
      <w:lang w:val="k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10283</Characters>
  <Application>Microsoft Office Word</Application>
  <DocSecurity>0</DocSecurity>
  <Lines>85</Lines>
  <Paragraphs>24</Paragraphs>
  <ScaleCrop>false</ScaleCrop>
  <Company>CC</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LyailyaSakhipova</dc:creator>
  <cp:lastModifiedBy>Galiya Dauletbakova</cp:lastModifiedBy>
  <cp:revision>2</cp:revision>
  <cp:lastPrinted>2024-08-12T05:43:00Z</cp:lastPrinted>
  <dcterms:created xsi:type="dcterms:W3CDTF">2025-06-24T06:29:00Z</dcterms:created>
  <dcterms:modified xsi:type="dcterms:W3CDTF">2025-06-24T06:29:00Z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